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36C" w:rsidRDefault="0099736C" w:rsidP="00EA0582">
      <w:pPr>
        <w:pStyle w:val="Akapitzlist"/>
        <w:ind w:left="0"/>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EC47A6">
        <w:rPr>
          <w:rFonts w:ascii="Times New Roman" w:hAnsi="Times New Roman"/>
          <w:sz w:val="24"/>
          <w:szCs w:val="24"/>
        </w:rPr>
        <w:t>Załącznik nr 8</w:t>
      </w:r>
    </w:p>
    <w:p w:rsidR="0099736C" w:rsidRDefault="0099736C" w:rsidP="00EA0582">
      <w:pPr>
        <w:pStyle w:val="Akapitzlist"/>
        <w:ind w:left="0"/>
        <w:rPr>
          <w:rFonts w:ascii="Times New Roman" w:hAnsi="Times New Roman"/>
          <w:sz w:val="24"/>
          <w:szCs w:val="24"/>
        </w:rPr>
      </w:pPr>
    </w:p>
    <w:p w:rsidR="0099736C" w:rsidRPr="0099736C" w:rsidRDefault="0099736C" w:rsidP="00EA0582">
      <w:pPr>
        <w:pStyle w:val="Akapitzlist"/>
        <w:ind w:left="0"/>
        <w:rPr>
          <w:rFonts w:ascii="Times New Roman" w:hAnsi="Times New Roman"/>
          <w:sz w:val="24"/>
          <w:szCs w:val="24"/>
        </w:rPr>
      </w:pPr>
    </w:p>
    <w:p w:rsidR="005E33B2" w:rsidRPr="004F6EE8" w:rsidRDefault="005E33B2" w:rsidP="00EA0582">
      <w:pPr>
        <w:pStyle w:val="Akapitzlist"/>
        <w:ind w:left="0"/>
        <w:rPr>
          <w:rFonts w:ascii="Times New Roman" w:hAnsi="Times New Roman"/>
          <w:b/>
          <w:sz w:val="24"/>
          <w:szCs w:val="24"/>
        </w:rPr>
      </w:pPr>
      <w:r>
        <w:rPr>
          <w:rFonts w:ascii="Times New Roman" w:hAnsi="Times New Roman"/>
          <w:b/>
          <w:sz w:val="24"/>
          <w:szCs w:val="24"/>
        </w:rPr>
        <w:t xml:space="preserve">SZCZEGÓŁOWY </w:t>
      </w:r>
      <w:r w:rsidRPr="004F6EE8">
        <w:rPr>
          <w:rFonts w:ascii="Times New Roman" w:hAnsi="Times New Roman"/>
          <w:b/>
          <w:sz w:val="24"/>
          <w:szCs w:val="24"/>
        </w:rPr>
        <w:t>OPIS PRZEDMIOTU ZAMÓWIENIA</w:t>
      </w:r>
      <w:r w:rsidR="0099736C">
        <w:rPr>
          <w:rFonts w:ascii="Times New Roman" w:hAnsi="Times New Roman"/>
          <w:b/>
          <w:sz w:val="24"/>
          <w:szCs w:val="24"/>
        </w:rPr>
        <w:tab/>
      </w:r>
      <w:r w:rsidR="0099736C">
        <w:rPr>
          <w:rFonts w:ascii="Times New Roman" w:hAnsi="Times New Roman"/>
          <w:b/>
          <w:sz w:val="24"/>
          <w:szCs w:val="24"/>
        </w:rPr>
        <w:tab/>
      </w:r>
      <w:r w:rsidR="0099736C">
        <w:rPr>
          <w:rFonts w:ascii="Times New Roman" w:hAnsi="Times New Roman"/>
          <w:b/>
          <w:sz w:val="24"/>
          <w:szCs w:val="24"/>
        </w:rPr>
        <w:tab/>
      </w:r>
      <w:r w:rsidR="0099736C">
        <w:rPr>
          <w:rFonts w:ascii="Times New Roman" w:hAnsi="Times New Roman"/>
          <w:b/>
          <w:sz w:val="24"/>
          <w:szCs w:val="24"/>
        </w:rPr>
        <w:tab/>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Kod i nazwa CPV - Wspólnego Słownika Zamówień Publicznych:</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66510000 - 8 usługi ubezpieczeniowe</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66515100 - 4 usługi ubezpieczenia od ognia</w:t>
      </w:r>
    </w:p>
    <w:p w:rsidR="00BB721C" w:rsidRPr="000D54C7"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 xml:space="preserve">66515400 - </w:t>
      </w:r>
      <w:bookmarkStart w:id="0" w:name="_GoBack"/>
      <w:bookmarkEnd w:id="0"/>
      <w:r w:rsidRPr="000D54C7">
        <w:rPr>
          <w:rFonts w:ascii="Times New Roman" w:hAnsi="Times New Roman"/>
          <w:b/>
          <w:sz w:val="24"/>
          <w:szCs w:val="24"/>
        </w:rPr>
        <w:t>7 usługi ubezpieczenia od skutków żywiołów</w:t>
      </w:r>
    </w:p>
    <w:p w:rsidR="00BB721C" w:rsidRPr="000D54C7"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66515000 - 3 usługi ubezpieczenia od uszkodzenia lub utraty</w:t>
      </w:r>
    </w:p>
    <w:p w:rsidR="00BB721C" w:rsidRPr="000D54C7"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66516400 - 4 usługi ubezpieczenia od ogólnej odpowiedzialności cywilnej</w:t>
      </w:r>
    </w:p>
    <w:p w:rsidR="00BB721C" w:rsidRPr="000D54C7"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66516000 - 0 usługi ubezpieczenia od odpowiedzialności cywilnej</w:t>
      </w:r>
    </w:p>
    <w:p w:rsidR="00BB721C" w:rsidRPr="000D54C7"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66516100 - 1 usługi ubezpieczenia pojazdów mechanicznych od odpowiedzialności cywilnej</w:t>
      </w:r>
    </w:p>
    <w:p w:rsidR="00BB721C" w:rsidRPr="000D54C7"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66514110 - 0 usługi ubezpieczeń pojazdów mechanicznych</w:t>
      </w:r>
    </w:p>
    <w:p w:rsidR="00BB721C" w:rsidRDefault="00BB721C" w:rsidP="00BB721C">
      <w:pPr>
        <w:spacing w:after="0" w:line="240" w:lineRule="auto"/>
        <w:jc w:val="both"/>
        <w:rPr>
          <w:rFonts w:ascii="Times New Roman" w:hAnsi="Times New Roman"/>
          <w:b/>
          <w:sz w:val="24"/>
          <w:szCs w:val="24"/>
        </w:rPr>
      </w:pPr>
      <w:r w:rsidRPr="000D54C7">
        <w:rPr>
          <w:rFonts w:ascii="Times New Roman" w:hAnsi="Times New Roman"/>
          <w:b/>
          <w:sz w:val="24"/>
          <w:szCs w:val="24"/>
        </w:rPr>
        <w:t>66512100 - 3 usługi ubezpieczenia od następstw nieszczęśliwych wypadków</w:t>
      </w:r>
    </w:p>
    <w:p w:rsidR="00BB721C" w:rsidRDefault="00BB721C" w:rsidP="00BB721C">
      <w:pPr>
        <w:spacing w:after="0" w:line="240" w:lineRule="auto"/>
        <w:jc w:val="both"/>
        <w:rPr>
          <w:rFonts w:ascii="Times New Roman" w:hAnsi="Times New Roman"/>
          <w:b/>
          <w:sz w:val="24"/>
          <w:szCs w:val="24"/>
        </w:rPr>
      </w:pPr>
    </w:p>
    <w:p w:rsidR="005E33B2" w:rsidRDefault="005E33B2" w:rsidP="00BB721C">
      <w:pPr>
        <w:spacing w:after="0" w:line="240" w:lineRule="auto"/>
        <w:jc w:val="both"/>
        <w:rPr>
          <w:rFonts w:ascii="Times New Roman" w:hAnsi="Times New Roman"/>
          <w:b/>
          <w:sz w:val="24"/>
          <w:szCs w:val="24"/>
        </w:rPr>
      </w:pPr>
      <w:r w:rsidRPr="00EC0F7D">
        <w:rPr>
          <w:rFonts w:ascii="Times New Roman" w:hAnsi="Times New Roman"/>
          <w:b/>
          <w:sz w:val="24"/>
          <w:szCs w:val="24"/>
        </w:rPr>
        <w:t>UWAGA: Zamawiający nie dopuszc</w:t>
      </w:r>
      <w:r w:rsidR="00E62F3D" w:rsidRPr="00EC0F7D">
        <w:rPr>
          <w:rFonts w:ascii="Times New Roman" w:hAnsi="Times New Roman"/>
          <w:b/>
          <w:sz w:val="24"/>
          <w:szCs w:val="24"/>
        </w:rPr>
        <w:t>za składania ofert wariantowych.</w:t>
      </w:r>
    </w:p>
    <w:p w:rsidR="00BB721C" w:rsidRPr="004F6EE8" w:rsidRDefault="00BB721C" w:rsidP="00BB721C">
      <w:pPr>
        <w:spacing w:after="0" w:line="240" w:lineRule="auto"/>
        <w:jc w:val="both"/>
        <w:rPr>
          <w:rFonts w:ascii="Times New Roman" w:hAnsi="Times New Roman"/>
          <w:b/>
          <w:sz w:val="24"/>
          <w:szCs w:val="24"/>
        </w:rPr>
      </w:pPr>
    </w:p>
    <w:p w:rsidR="005E33B2" w:rsidRPr="007B3A3A" w:rsidRDefault="005E33B2" w:rsidP="00284FE3">
      <w:pPr>
        <w:pStyle w:val="Akapitzlist"/>
        <w:numPr>
          <w:ilvl w:val="0"/>
          <w:numId w:val="2"/>
        </w:numPr>
        <w:rPr>
          <w:rFonts w:ascii="Times New Roman" w:hAnsi="Times New Roman"/>
          <w:b/>
          <w:sz w:val="24"/>
          <w:szCs w:val="24"/>
        </w:rPr>
      </w:pPr>
      <w:r w:rsidRPr="007B3A3A">
        <w:rPr>
          <w:rFonts w:ascii="Times New Roman" w:hAnsi="Times New Roman"/>
          <w:b/>
          <w:sz w:val="24"/>
          <w:szCs w:val="24"/>
        </w:rPr>
        <w:t>Informacje ogólne</w:t>
      </w:r>
    </w:p>
    <w:p w:rsidR="005E33B2" w:rsidRPr="007B3A3A" w:rsidRDefault="005E33B2" w:rsidP="007B3A3A">
      <w:pPr>
        <w:pStyle w:val="Akapitzlist"/>
        <w:ind w:left="2520"/>
        <w:rPr>
          <w:rFonts w:ascii="Times New Roman" w:hAnsi="Times New Roman"/>
          <w:b/>
          <w:sz w:val="24"/>
          <w:szCs w:val="24"/>
        </w:rPr>
      </w:pPr>
    </w:p>
    <w:p w:rsidR="005E33B2" w:rsidRPr="00EB0E59" w:rsidRDefault="005E33B2" w:rsidP="00284FE3">
      <w:pPr>
        <w:pStyle w:val="Akapitzlist"/>
        <w:numPr>
          <w:ilvl w:val="0"/>
          <w:numId w:val="1"/>
        </w:numPr>
        <w:rPr>
          <w:rFonts w:ascii="Times New Roman" w:hAnsi="Times New Roman"/>
          <w:b/>
          <w:sz w:val="24"/>
          <w:szCs w:val="24"/>
        </w:rPr>
      </w:pPr>
      <w:r w:rsidRPr="00EB0E59">
        <w:rPr>
          <w:rFonts w:ascii="Times New Roman" w:hAnsi="Times New Roman"/>
          <w:b/>
          <w:sz w:val="24"/>
          <w:szCs w:val="24"/>
        </w:rPr>
        <w:t>Przedmiotem zamówienia jest:</w:t>
      </w:r>
    </w:p>
    <w:p w:rsidR="005E33B2" w:rsidRPr="00E225A6" w:rsidRDefault="005E33B2" w:rsidP="00A526D6">
      <w:pPr>
        <w:spacing w:line="240" w:lineRule="auto"/>
        <w:rPr>
          <w:rFonts w:ascii="Times New Roman" w:hAnsi="Times New Roman"/>
          <w:sz w:val="24"/>
          <w:szCs w:val="24"/>
        </w:rPr>
      </w:pPr>
      <w:r w:rsidRPr="00E225A6">
        <w:rPr>
          <w:rFonts w:ascii="Times New Roman" w:hAnsi="Times New Roman"/>
          <w:sz w:val="24"/>
          <w:szCs w:val="24"/>
        </w:rPr>
        <w:t>Objęcie ochroną ubezpieczeniową  Ubezpie</w:t>
      </w:r>
      <w:r>
        <w:rPr>
          <w:rFonts w:ascii="Times New Roman" w:hAnsi="Times New Roman"/>
          <w:sz w:val="24"/>
          <w:szCs w:val="24"/>
        </w:rPr>
        <w:t>czającego przez Ubezpieczyciela</w:t>
      </w:r>
      <w:r w:rsidRPr="00E225A6">
        <w:rPr>
          <w:rFonts w:ascii="Times New Roman" w:hAnsi="Times New Roman"/>
          <w:sz w:val="24"/>
          <w:szCs w:val="24"/>
        </w:rPr>
        <w:t>,</w:t>
      </w:r>
    </w:p>
    <w:p w:rsidR="005E33B2" w:rsidRPr="00E225A6" w:rsidRDefault="005E33B2" w:rsidP="00A526D6">
      <w:pPr>
        <w:spacing w:line="240" w:lineRule="auto"/>
        <w:rPr>
          <w:rFonts w:ascii="Times New Roman" w:hAnsi="Times New Roman"/>
          <w:sz w:val="24"/>
          <w:szCs w:val="24"/>
        </w:rPr>
      </w:pPr>
      <w:r>
        <w:rPr>
          <w:rFonts w:ascii="Times New Roman" w:hAnsi="Times New Roman"/>
          <w:sz w:val="24"/>
          <w:szCs w:val="24"/>
        </w:rPr>
        <w:t>w</w:t>
      </w:r>
      <w:r w:rsidRPr="00E225A6">
        <w:rPr>
          <w:rFonts w:ascii="Times New Roman" w:hAnsi="Times New Roman"/>
          <w:sz w:val="24"/>
          <w:szCs w:val="24"/>
        </w:rPr>
        <w:t xml:space="preserve"> zakresie określonym w specyfikacji istotnych warunków zamówienia (dalej:</w:t>
      </w:r>
      <w:r>
        <w:rPr>
          <w:rFonts w:ascii="Times New Roman" w:hAnsi="Times New Roman"/>
          <w:sz w:val="24"/>
          <w:szCs w:val="24"/>
        </w:rPr>
        <w:t xml:space="preserve"> SIWZ) wg następujących rodzajów ubezpieczeń</w:t>
      </w:r>
      <w:r w:rsidR="00375CFF">
        <w:rPr>
          <w:rFonts w:ascii="Times New Roman" w:hAnsi="Times New Roman"/>
          <w:sz w:val="24"/>
          <w:szCs w:val="24"/>
        </w:rPr>
        <w:t>, podzielonych na</w:t>
      </w:r>
      <w:r w:rsidR="008D7C9C">
        <w:rPr>
          <w:rFonts w:ascii="Times New Roman" w:hAnsi="Times New Roman"/>
          <w:sz w:val="24"/>
          <w:szCs w:val="24"/>
        </w:rPr>
        <w:t xml:space="preserve"> 3</w:t>
      </w:r>
      <w:r w:rsidR="00375CFF">
        <w:rPr>
          <w:rFonts w:ascii="Times New Roman" w:hAnsi="Times New Roman"/>
          <w:sz w:val="24"/>
          <w:szCs w:val="24"/>
        </w:rPr>
        <w:t xml:space="preserve"> zadania</w:t>
      </w:r>
      <w:r w:rsidRPr="00E225A6">
        <w:rPr>
          <w:rFonts w:ascii="Times New Roman" w:hAnsi="Times New Roman"/>
          <w:sz w:val="24"/>
          <w:szCs w:val="24"/>
        </w:rPr>
        <w:t>:</w:t>
      </w:r>
    </w:p>
    <w:p w:rsidR="008D7C9C" w:rsidRPr="008D7C9C" w:rsidRDefault="008D7C9C" w:rsidP="008D7C9C">
      <w:pPr>
        <w:spacing w:line="240" w:lineRule="auto"/>
        <w:rPr>
          <w:rFonts w:ascii="Times New Roman" w:hAnsi="Times New Roman"/>
          <w:sz w:val="24"/>
          <w:szCs w:val="24"/>
        </w:rPr>
      </w:pPr>
      <w:r>
        <w:rPr>
          <w:rFonts w:ascii="Times New Roman" w:hAnsi="Times New Roman"/>
          <w:sz w:val="24"/>
          <w:szCs w:val="24"/>
        </w:rPr>
        <w:t>- Zadanie I: Ubezpieczenie majątku</w:t>
      </w:r>
      <w:r w:rsidRPr="008D7C9C">
        <w:rPr>
          <w:rFonts w:ascii="Times New Roman" w:hAnsi="Times New Roman"/>
          <w:sz w:val="24"/>
          <w:szCs w:val="24"/>
        </w:rPr>
        <w:t xml:space="preserve"> w następującym zakresie:</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 xml:space="preserve">a) ubezpieczenie mienia od wszystkich </w:t>
      </w:r>
      <w:proofErr w:type="spellStart"/>
      <w:r w:rsidRPr="008D7C9C">
        <w:rPr>
          <w:rFonts w:ascii="Times New Roman" w:hAnsi="Times New Roman"/>
          <w:sz w:val="24"/>
          <w:szCs w:val="24"/>
        </w:rPr>
        <w:t>ryzyk</w:t>
      </w:r>
      <w:proofErr w:type="spellEnd"/>
      <w:r w:rsidRPr="008D7C9C">
        <w:rPr>
          <w:rFonts w:ascii="Times New Roman" w:hAnsi="Times New Roman"/>
          <w:sz w:val="24"/>
          <w:szCs w:val="24"/>
        </w:rPr>
        <w:t xml:space="preserve"> </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 xml:space="preserve">b) ubezpieczenie sprzętu elektronicznego od wszystkich </w:t>
      </w:r>
      <w:proofErr w:type="spellStart"/>
      <w:r w:rsidRPr="008D7C9C">
        <w:rPr>
          <w:rFonts w:ascii="Times New Roman" w:hAnsi="Times New Roman"/>
          <w:sz w:val="24"/>
          <w:szCs w:val="24"/>
        </w:rPr>
        <w:t>ryzyk</w:t>
      </w:r>
      <w:proofErr w:type="spellEnd"/>
    </w:p>
    <w:p w:rsidR="005E33B2" w:rsidRDefault="005E33B2" w:rsidP="001F7E1B">
      <w:pPr>
        <w:spacing w:line="240" w:lineRule="auto"/>
        <w:rPr>
          <w:rFonts w:ascii="Times New Roman" w:hAnsi="Times New Roman"/>
          <w:sz w:val="24"/>
          <w:szCs w:val="24"/>
        </w:rPr>
      </w:pPr>
    </w:p>
    <w:p w:rsidR="005E33B2" w:rsidRDefault="005E33B2" w:rsidP="00284FE3">
      <w:pPr>
        <w:pStyle w:val="Akapitzlist"/>
        <w:numPr>
          <w:ilvl w:val="0"/>
          <w:numId w:val="1"/>
        </w:numPr>
        <w:spacing w:after="0" w:line="240" w:lineRule="auto"/>
        <w:rPr>
          <w:rFonts w:ascii="Times New Roman" w:hAnsi="Times New Roman"/>
          <w:sz w:val="24"/>
          <w:szCs w:val="24"/>
        </w:rPr>
      </w:pPr>
      <w:r w:rsidRPr="00EB0E59">
        <w:rPr>
          <w:rFonts w:ascii="Times New Roman" w:hAnsi="Times New Roman"/>
          <w:b/>
          <w:sz w:val="24"/>
          <w:szCs w:val="24"/>
        </w:rPr>
        <w:t>Informacje ogólne o Ubezpieczającym</w:t>
      </w:r>
      <w:r>
        <w:rPr>
          <w:rFonts w:ascii="Times New Roman" w:hAnsi="Times New Roman"/>
          <w:sz w:val="24"/>
          <w:szCs w:val="24"/>
        </w:rPr>
        <w:t>:</w:t>
      </w:r>
    </w:p>
    <w:p w:rsidR="005E33B2" w:rsidRDefault="005E33B2" w:rsidP="00A526D6">
      <w:pPr>
        <w:pStyle w:val="Akapitzlist"/>
        <w:spacing w:after="0" w:line="240" w:lineRule="auto"/>
        <w:ind w:left="1440"/>
        <w:rPr>
          <w:rFonts w:ascii="Times New Roman" w:hAnsi="Times New Roman"/>
          <w:sz w:val="24"/>
          <w:szCs w:val="24"/>
        </w:rPr>
      </w:pPr>
    </w:p>
    <w:p w:rsidR="00086D6A" w:rsidRDefault="005E33B2" w:rsidP="00A526D6">
      <w:pPr>
        <w:spacing w:after="0" w:line="240" w:lineRule="auto"/>
        <w:rPr>
          <w:rFonts w:ascii="Times New Roman" w:hAnsi="Times New Roman"/>
          <w:sz w:val="24"/>
          <w:szCs w:val="24"/>
        </w:rPr>
      </w:pPr>
      <w:r>
        <w:rPr>
          <w:rFonts w:ascii="Times New Roman" w:hAnsi="Times New Roman"/>
          <w:sz w:val="24"/>
          <w:szCs w:val="24"/>
        </w:rPr>
        <w:t xml:space="preserve">Ubezpieczającym jest Powiat Ostrowiecki z siedzibą w Ostrowcu Świętokrzyskim, przy ulicy Iłżeckiej 37, 27-400 Ostrowiec Świętokrzyski. Ubezpieczonym jest </w:t>
      </w:r>
      <w:r w:rsidRPr="00781A2F">
        <w:rPr>
          <w:rFonts w:ascii="Times New Roman" w:hAnsi="Times New Roman"/>
          <w:sz w:val="24"/>
          <w:szCs w:val="24"/>
        </w:rPr>
        <w:t xml:space="preserve">Powiat Ostrowiecki wraz z </w:t>
      </w:r>
      <w:r w:rsidR="00086D6A">
        <w:rPr>
          <w:rFonts w:ascii="Times New Roman" w:hAnsi="Times New Roman"/>
          <w:sz w:val="24"/>
          <w:szCs w:val="24"/>
        </w:rPr>
        <w:t>Jednostkami Organizacyjnymi i Instytucjami K</w:t>
      </w:r>
      <w:r w:rsidRPr="00781A2F">
        <w:rPr>
          <w:rFonts w:ascii="Times New Roman" w:hAnsi="Times New Roman"/>
          <w:sz w:val="24"/>
          <w:szCs w:val="24"/>
        </w:rPr>
        <w:t>ultury - wykaz jednostek organizacyjnych i instyt</w:t>
      </w:r>
      <w:r>
        <w:rPr>
          <w:rFonts w:ascii="Times New Roman" w:hAnsi="Times New Roman"/>
          <w:sz w:val="24"/>
          <w:szCs w:val="24"/>
        </w:rPr>
        <w:t>ucji kul</w:t>
      </w:r>
      <w:r w:rsidR="0099736C">
        <w:rPr>
          <w:rFonts w:ascii="Times New Roman" w:hAnsi="Times New Roman"/>
          <w:sz w:val="24"/>
          <w:szCs w:val="24"/>
        </w:rPr>
        <w:t>tury zgodnie z załącznikiem nr 9</w:t>
      </w:r>
      <w:r w:rsidRPr="00781A2F">
        <w:rPr>
          <w:rFonts w:ascii="Times New Roman" w:hAnsi="Times New Roman"/>
          <w:sz w:val="24"/>
          <w:szCs w:val="24"/>
        </w:rPr>
        <w:t xml:space="preserve"> oraz dla ubezpieczeń kom</w:t>
      </w:r>
      <w:r>
        <w:rPr>
          <w:rFonts w:ascii="Times New Roman" w:hAnsi="Times New Roman"/>
          <w:sz w:val="24"/>
          <w:szCs w:val="24"/>
        </w:rPr>
        <w:t>unikacyj</w:t>
      </w:r>
      <w:r w:rsidR="0099736C">
        <w:rPr>
          <w:rFonts w:ascii="Times New Roman" w:hAnsi="Times New Roman"/>
          <w:sz w:val="24"/>
          <w:szCs w:val="24"/>
        </w:rPr>
        <w:t>nych zgodnie z załącznikiem nr 15</w:t>
      </w:r>
      <w:r w:rsidRPr="00781A2F">
        <w:rPr>
          <w:rFonts w:ascii="Times New Roman" w:hAnsi="Times New Roman"/>
          <w:sz w:val="24"/>
          <w:szCs w:val="24"/>
        </w:rPr>
        <w:t>.</w:t>
      </w:r>
      <w:r>
        <w:rPr>
          <w:rFonts w:ascii="Times New Roman" w:hAnsi="Times New Roman"/>
          <w:sz w:val="24"/>
          <w:szCs w:val="24"/>
        </w:rPr>
        <w:t xml:space="preserve"> Opis prowadzonej działalności, budżet, liczba pracowników oraz lokalizacja została umieszczona w załąc</w:t>
      </w:r>
      <w:r w:rsidR="00086D6A">
        <w:rPr>
          <w:rFonts w:ascii="Times New Roman" w:hAnsi="Times New Roman"/>
          <w:sz w:val="24"/>
          <w:szCs w:val="24"/>
        </w:rPr>
        <w:t xml:space="preserve">zniku nr </w:t>
      </w:r>
      <w:r w:rsidR="0099736C">
        <w:rPr>
          <w:rFonts w:ascii="Times New Roman" w:hAnsi="Times New Roman"/>
          <w:sz w:val="24"/>
          <w:szCs w:val="24"/>
        </w:rPr>
        <w:t>9</w:t>
      </w:r>
      <w:r w:rsidR="00086D6A">
        <w:rPr>
          <w:rFonts w:ascii="Times New Roman" w:hAnsi="Times New Roman"/>
          <w:sz w:val="24"/>
          <w:szCs w:val="24"/>
        </w:rPr>
        <w:t xml:space="preserve">. </w:t>
      </w:r>
    </w:p>
    <w:p w:rsidR="005E33B2" w:rsidRDefault="0099736C" w:rsidP="00A526D6">
      <w:pPr>
        <w:spacing w:after="0" w:line="240" w:lineRule="auto"/>
        <w:rPr>
          <w:rFonts w:ascii="Times New Roman" w:hAnsi="Times New Roman"/>
          <w:sz w:val="24"/>
          <w:szCs w:val="24"/>
        </w:rPr>
      </w:pPr>
      <w:r>
        <w:rPr>
          <w:rFonts w:ascii="Times New Roman" w:hAnsi="Times New Roman"/>
          <w:sz w:val="24"/>
          <w:szCs w:val="24"/>
        </w:rPr>
        <w:t>Zgodnie z załącznikiem nr 12</w:t>
      </w:r>
      <w:r w:rsidR="005E33B2">
        <w:rPr>
          <w:rFonts w:ascii="Times New Roman" w:hAnsi="Times New Roman"/>
          <w:sz w:val="24"/>
          <w:szCs w:val="24"/>
        </w:rPr>
        <w:t xml:space="preserve"> dotyczącym opisu ryzyka i zabezpieczeń Ubezpieczający w okresie ubezpieczenia: </w:t>
      </w:r>
    </w:p>
    <w:p w:rsidR="005E33B2" w:rsidRPr="009856A6" w:rsidRDefault="005E33B2" w:rsidP="00A526D6">
      <w:pPr>
        <w:spacing w:after="0" w:line="240" w:lineRule="auto"/>
        <w:ind w:left="705" w:hanging="705"/>
        <w:rPr>
          <w:rFonts w:ascii="Times New Roman" w:hAnsi="Times New Roman"/>
          <w:sz w:val="24"/>
          <w:szCs w:val="24"/>
        </w:rPr>
      </w:pPr>
      <w:r w:rsidRPr="009526A3">
        <w:rPr>
          <w:rFonts w:ascii="Times New Roman" w:hAnsi="Times New Roman"/>
          <w:sz w:val="24"/>
          <w:szCs w:val="24"/>
        </w:rPr>
        <w:t>-</w:t>
      </w:r>
      <w:r w:rsidRPr="009526A3">
        <w:rPr>
          <w:rFonts w:ascii="Times New Roman" w:hAnsi="Times New Roman"/>
          <w:sz w:val="24"/>
          <w:szCs w:val="24"/>
        </w:rPr>
        <w:tab/>
      </w:r>
      <w:r>
        <w:rPr>
          <w:rFonts w:ascii="Times New Roman" w:hAnsi="Times New Roman"/>
          <w:sz w:val="24"/>
          <w:szCs w:val="24"/>
        </w:rPr>
        <w:t>N</w:t>
      </w:r>
      <w:r w:rsidRPr="009526A3">
        <w:rPr>
          <w:rFonts w:ascii="Times New Roman" w:hAnsi="Times New Roman"/>
          <w:sz w:val="24"/>
          <w:szCs w:val="24"/>
        </w:rPr>
        <w:t xml:space="preserve">ie posiada, nie zarządza oraz nie administruje wysypiskiem odpadów jak też zakładem przetwarzania, utylizacji odpadów. </w:t>
      </w:r>
    </w:p>
    <w:p w:rsidR="005E33B2" w:rsidRDefault="005E33B2" w:rsidP="00A526D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N</w:t>
      </w:r>
      <w:r w:rsidRPr="009526A3">
        <w:rPr>
          <w:rFonts w:ascii="Times New Roman" w:hAnsi="Times New Roman"/>
          <w:sz w:val="24"/>
          <w:szCs w:val="24"/>
        </w:rPr>
        <w:t>ie planuje przejąć jednostki, która posiada/zarządza wysypiskiem śmieci.</w:t>
      </w:r>
    </w:p>
    <w:p w:rsidR="005E33B2" w:rsidRDefault="005E33B2" w:rsidP="00A526D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Nie zgłosi do ubezpieczenia budynków</w:t>
      </w:r>
      <w:r w:rsidRPr="009526A3">
        <w:rPr>
          <w:rFonts w:ascii="Times New Roman" w:hAnsi="Times New Roman"/>
          <w:sz w:val="24"/>
          <w:szCs w:val="24"/>
        </w:rPr>
        <w:t>, które są nieeksploatowane (pustostany).</w:t>
      </w:r>
    </w:p>
    <w:p w:rsidR="005E33B2" w:rsidRDefault="005E33B2" w:rsidP="009526A3">
      <w:pPr>
        <w:spacing w:after="0" w:line="360" w:lineRule="auto"/>
        <w:rPr>
          <w:rFonts w:ascii="Times New Roman" w:hAnsi="Times New Roman"/>
          <w:sz w:val="24"/>
          <w:szCs w:val="24"/>
        </w:rPr>
      </w:pPr>
    </w:p>
    <w:p w:rsidR="005E33B2" w:rsidRDefault="004D7485" w:rsidP="00A526D6">
      <w:pPr>
        <w:spacing w:after="0" w:line="240" w:lineRule="auto"/>
        <w:rPr>
          <w:rFonts w:ascii="Times New Roman" w:hAnsi="Times New Roman"/>
          <w:sz w:val="24"/>
          <w:szCs w:val="24"/>
        </w:rPr>
      </w:pPr>
      <w:r w:rsidRPr="00B94A1B">
        <w:rPr>
          <w:rFonts w:ascii="Times New Roman" w:hAnsi="Times New Roman"/>
          <w:sz w:val="24"/>
          <w:szCs w:val="24"/>
        </w:rPr>
        <w:t>Szkodowość</w:t>
      </w:r>
      <w:r w:rsidR="005E33B2" w:rsidRPr="00B94A1B">
        <w:rPr>
          <w:rFonts w:ascii="Times New Roman" w:hAnsi="Times New Roman"/>
          <w:sz w:val="24"/>
          <w:szCs w:val="24"/>
        </w:rPr>
        <w:t xml:space="preserve"> zosta</w:t>
      </w:r>
      <w:r w:rsidR="00932EE1" w:rsidRPr="00B94A1B">
        <w:rPr>
          <w:rFonts w:ascii="Times New Roman" w:hAnsi="Times New Roman"/>
          <w:sz w:val="24"/>
          <w:szCs w:val="24"/>
        </w:rPr>
        <w:t>ła umieszczona w załączniku nr 13</w:t>
      </w:r>
    </w:p>
    <w:p w:rsidR="005E33B2" w:rsidRDefault="005E33B2" w:rsidP="00D85EF0">
      <w:pPr>
        <w:spacing w:after="0" w:line="360" w:lineRule="auto"/>
        <w:rPr>
          <w:rFonts w:ascii="Times New Roman" w:hAnsi="Times New Roman"/>
          <w:sz w:val="24"/>
          <w:szCs w:val="24"/>
        </w:rPr>
      </w:pPr>
    </w:p>
    <w:p w:rsidR="005E33B2" w:rsidRDefault="005E33B2" w:rsidP="00284FE3">
      <w:pPr>
        <w:pStyle w:val="Akapitzlist"/>
        <w:numPr>
          <w:ilvl w:val="0"/>
          <w:numId w:val="1"/>
        </w:numPr>
        <w:spacing w:after="0" w:line="240" w:lineRule="auto"/>
        <w:rPr>
          <w:rFonts w:ascii="Times New Roman" w:hAnsi="Times New Roman"/>
          <w:sz w:val="24"/>
          <w:szCs w:val="24"/>
        </w:rPr>
      </w:pPr>
      <w:r>
        <w:rPr>
          <w:rFonts w:ascii="Times New Roman" w:hAnsi="Times New Roman"/>
          <w:sz w:val="24"/>
          <w:szCs w:val="24"/>
        </w:rPr>
        <w:lastRenderedPageBreak/>
        <w:t>Okres ubezpieczenia i  p</w:t>
      </w:r>
      <w:r w:rsidRPr="00F30D04">
        <w:rPr>
          <w:rFonts w:ascii="Times New Roman" w:hAnsi="Times New Roman"/>
          <w:sz w:val="24"/>
          <w:szCs w:val="24"/>
        </w:rPr>
        <w:t>łatności składek</w:t>
      </w:r>
      <w:r>
        <w:rPr>
          <w:rFonts w:ascii="Times New Roman" w:hAnsi="Times New Roman"/>
          <w:sz w:val="24"/>
          <w:szCs w:val="24"/>
        </w:rPr>
        <w:t xml:space="preserve"> :</w:t>
      </w:r>
    </w:p>
    <w:p w:rsidR="005E33B2" w:rsidRDefault="005E33B2" w:rsidP="00A526D6">
      <w:pPr>
        <w:pStyle w:val="Akapitzlist"/>
        <w:spacing w:after="0" w:line="240" w:lineRule="auto"/>
        <w:ind w:left="1440"/>
        <w:rPr>
          <w:rFonts w:ascii="Times New Roman" w:hAnsi="Times New Roman"/>
          <w:sz w:val="24"/>
          <w:szCs w:val="24"/>
        </w:rPr>
      </w:pPr>
    </w:p>
    <w:p w:rsidR="005E33B2" w:rsidRPr="00C90A46" w:rsidRDefault="00391DAD" w:rsidP="00A526D6">
      <w:pPr>
        <w:spacing w:after="0" w:line="240" w:lineRule="auto"/>
        <w:rPr>
          <w:rFonts w:ascii="Times New Roman" w:hAnsi="Times New Roman"/>
          <w:sz w:val="24"/>
          <w:szCs w:val="24"/>
        </w:rPr>
      </w:pPr>
      <w:r>
        <w:rPr>
          <w:rFonts w:ascii="Times New Roman" w:hAnsi="Times New Roman"/>
          <w:sz w:val="24"/>
          <w:szCs w:val="24"/>
        </w:rPr>
        <w:t>07</w:t>
      </w:r>
      <w:r w:rsidR="00687EFC" w:rsidRPr="00C90A46">
        <w:rPr>
          <w:rFonts w:ascii="Times New Roman" w:hAnsi="Times New Roman"/>
          <w:sz w:val="24"/>
          <w:szCs w:val="24"/>
        </w:rPr>
        <w:t xml:space="preserve"> stycznia 2020 r. - 31 grudnia 2020</w:t>
      </w:r>
      <w:r w:rsidR="005E33B2" w:rsidRPr="00C90A46">
        <w:rPr>
          <w:rFonts w:ascii="Times New Roman" w:hAnsi="Times New Roman"/>
          <w:sz w:val="24"/>
          <w:szCs w:val="24"/>
        </w:rPr>
        <w:t xml:space="preserve"> r. - pierwszy okres ubezpieczeniowy,</w:t>
      </w:r>
    </w:p>
    <w:p w:rsidR="005E33B2" w:rsidRDefault="00687EFC" w:rsidP="00A526D6">
      <w:pPr>
        <w:spacing w:after="0" w:line="240" w:lineRule="auto"/>
        <w:rPr>
          <w:rFonts w:ascii="Times New Roman" w:hAnsi="Times New Roman"/>
          <w:sz w:val="24"/>
          <w:szCs w:val="24"/>
        </w:rPr>
      </w:pPr>
      <w:r w:rsidRPr="00C90A46">
        <w:rPr>
          <w:rFonts w:ascii="Times New Roman" w:hAnsi="Times New Roman"/>
          <w:sz w:val="24"/>
          <w:szCs w:val="24"/>
        </w:rPr>
        <w:t>1 stycznia 2021 r. - 31 grudnia 2021</w:t>
      </w:r>
      <w:r w:rsidR="005E33B2" w:rsidRPr="00C90A46">
        <w:rPr>
          <w:rFonts w:ascii="Times New Roman" w:hAnsi="Times New Roman"/>
          <w:sz w:val="24"/>
          <w:szCs w:val="24"/>
        </w:rPr>
        <w:t xml:space="preserve"> r. - drugi okres ubezpieczeniowy.</w:t>
      </w:r>
    </w:p>
    <w:p w:rsidR="005E33B2" w:rsidRDefault="005E33B2" w:rsidP="00D85EF0">
      <w:pPr>
        <w:spacing w:after="0" w:line="360" w:lineRule="auto"/>
        <w:rPr>
          <w:rFonts w:ascii="Times New Roman" w:hAnsi="Times New Roman"/>
          <w:color w:val="FF0000"/>
          <w:sz w:val="24"/>
          <w:szCs w:val="24"/>
        </w:rPr>
      </w:pPr>
    </w:p>
    <w:p w:rsidR="005E33B2" w:rsidRDefault="005E33B2" w:rsidP="00D85EF0">
      <w:pPr>
        <w:spacing w:after="0" w:line="360" w:lineRule="auto"/>
        <w:rPr>
          <w:rFonts w:ascii="Times New Roman" w:hAnsi="Times New Roman"/>
          <w:sz w:val="24"/>
          <w:szCs w:val="24"/>
        </w:rPr>
      </w:pPr>
    </w:p>
    <w:p w:rsidR="00CA1095" w:rsidRPr="00CA1095" w:rsidRDefault="005E33B2" w:rsidP="00CA1095">
      <w:pPr>
        <w:pStyle w:val="Akapitzlist"/>
        <w:numPr>
          <w:ilvl w:val="0"/>
          <w:numId w:val="3"/>
        </w:numPr>
        <w:spacing w:after="0" w:line="360" w:lineRule="auto"/>
        <w:rPr>
          <w:rFonts w:ascii="Times New Roman" w:hAnsi="Times New Roman"/>
          <w:b/>
          <w:sz w:val="24"/>
          <w:szCs w:val="24"/>
        </w:rPr>
      </w:pPr>
      <w:r w:rsidRPr="007E1D94">
        <w:rPr>
          <w:rFonts w:ascii="Times New Roman" w:hAnsi="Times New Roman"/>
          <w:b/>
          <w:sz w:val="24"/>
          <w:szCs w:val="24"/>
        </w:rPr>
        <w:t xml:space="preserve">Rodzaje </w:t>
      </w:r>
      <w:proofErr w:type="spellStart"/>
      <w:r w:rsidRPr="007E1D94">
        <w:rPr>
          <w:rFonts w:ascii="Times New Roman" w:hAnsi="Times New Roman"/>
          <w:b/>
          <w:sz w:val="24"/>
          <w:szCs w:val="24"/>
        </w:rPr>
        <w:t>ryzyk</w:t>
      </w:r>
      <w:proofErr w:type="spellEnd"/>
      <w:r w:rsidRPr="007E1D94">
        <w:rPr>
          <w:rFonts w:ascii="Times New Roman" w:hAnsi="Times New Roman"/>
          <w:b/>
          <w:sz w:val="24"/>
          <w:szCs w:val="24"/>
        </w:rPr>
        <w:t xml:space="preserve"> podlegających ubezpieczeniu</w:t>
      </w:r>
    </w:p>
    <w:p w:rsidR="00F717FD" w:rsidRDefault="005047FF" w:rsidP="005047FF">
      <w:pPr>
        <w:spacing w:after="0" w:line="360" w:lineRule="auto"/>
        <w:rPr>
          <w:rFonts w:ascii="Times New Roman" w:hAnsi="Times New Roman"/>
          <w:b/>
          <w:sz w:val="24"/>
          <w:szCs w:val="24"/>
        </w:rPr>
      </w:pPr>
      <w:r>
        <w:rPr>
          <w:rFonts w:ascii="Times New Roman" w:hAnsi="Times New Roman"/>
          <w:b/>
          <w:sz w:val="24"/>
          <w:szCs w:val="24"/>
        </w:rPr>
        <w:t xml:space="preserve">      </w:t>
      </w:r>
    </w:p>
    <w:p w:rsidR="00CA1095" w:rsidRPr="00F717FD" w:rsidRDefault="00FD5242" w:rsidP="005047FF">
      <w:pPr>
        <w:spacing w:after="0" w:line="360" w:lineRule="auto"/>
        <w:rPr>
          <w:rFonts w:ascii="Times New Roman" w:hAnsi="Times New Roman"/>
          <w:b/>
          <w:sz w:val="28"/>
          <w:szCs w:val="28"/>
          <w:u w:val="single"/>
        </w:rPr>
      </w:pPr>
      <w:r w:rsidRPr="00F717FD">
        <w:rPr>
          <w:rFonts w:ascii="Times New Roman" w:hAnsi="Times New Roman"/>
          <w:b/>
          <w:sz w:val="28"/>
          <w:szCs w:val="28"/>
          <w:u w:val="single"/>
        </w:rPr>
        <w:t>Zad</w:t>
      </w:r>
      <w:r w:rsidR="00673A98">
        <w:rPr>
          <w:rFonts w:ascii="Times New Roman" w:hAnsi="Times New Roman"/>
          <w:b/>
          <w:sz w:val="28"/>
          <w:szCs w:val="28"/>
          <w:u w:val="single"/>
        </w:rPr>
        <w:t xml:space="preserve">anie I a) </w:t>
      </w:r>
      <w:r w:rsidR="00CA1095" w:rsidRPr="00F717FD">
        <w:rPr>
          <w:rFonts w:ascii="Times New Roman" w:hAnsi="Times New Roman"/>
          <w:b/>
          <w:sz w:val="28"/>
          <w:szCs w:val="28"/>
          <w:u w:val="single"/>
        </w:rPr>
        <w:t xml:space="preserve">Ubezpieczenie mienia od wszystkich </w:t>
      </w:r>
      <w:proofErr w:type="spellStart"/>
      <w:r w:rsidR="00CA1095" w:rsidRPr="00F717FD">
        <w:rPr>
          <w:rFonts w:ascii="Times New Roman" w:hAnsi="Times New Roman"/>
          <w:b/>
          <w:sz w:val="28"/>
          <w:szCs w:val="28"/>
          <w:u w:val="single"/>
        </w:rPr>
        <w:t>ryzyk</w:t>
      </w:r>
      <w:proofErr w:type="spellEnd"/>
    </w:p>
    <w:p w:rsidR="00F717FD" w:rsidRPr="005047FF" w:rsidRDefault="00F717FD" w:rsidP="005047FF">
      <w:pPr>
        <w:spacing w:after="0" w:line="360" w:lineRule="auto"/>
        <w:rPr>
          <w:rFonts w:ascii="Times New Roman" w:hAnsi="Times New Roman"/>
          <w:b/>
          <w:sz w:val="24"/>
          <w:szCs w:val="24"/>
          <w:u w:val="single"/>
        </w:rPr>
      </w:pPr>
    </w:p>
    <w:p w:rsidR="005E33B2" w:rsidRPr="00E942C1" w:rsidRDefault="00E942C1" w:rsidP="00E942C1">
      <w:pPr>
        <w:spacing w:after="0" w:line="360" w:lineRule="auto"/>
        <w:ind w:left="360"/>
        <w:rPr>
          <w:rFonts w:ascii="Times New Roman" w:hAnsi="Times New Roman"/>
          <w:b/>
          <w:sz w:val="24"/>
          <w:szCs w:val="24"/>
        </w:rPr>
      </w:pPr>
      <w:r w:rsidRPr="00E942C1">
        <w:rPr>
          <w:rFonts w:ascii="Times New Roman" w:hAnsi="Times New Roman"/>
          <w:sz w:val="24"/>
          <w:szCs w:val="24"/>
        </w:rPr>
        <w:t>1.</w:t>
      </w:r>
      <w:r w:rsidR="00CA1095" w:rsidRPr="00E942C1">
        <w:rPr>
          <w:rFonts w:ascii="Times New Roman" w:hAnsi="Times New Roman"/>
          <w:b/>
          <w:sz w:val="24"/>
          <w:szCs w:val="24"/>
        </w:rPr>
        <w:t xml:space="preserve"> </w:t>
      </w:r>
      <w:r w:rsidR="005E33B2" w:rsidRPr="00E942C1">
        <w:rPr>
          <w:rFonts w:ascii="Times New Roman" w:hAnsi="Times New Roman"/>
          <w:b/>
          <w:sz w:val="24"/>
          <w:szCs w:val="24"/>
        </w:rPr>
        <w:t>Przedmiot i suma ubezpieczenia:</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5245"/>
        <w:gridCol w:w="4252"/>
      </w:tblGrid>
      <w:tr w:rsidR="005E33B2" w:rsidRPr="00715661" w:rsidTr="00715661">
        <w:trPr>
          <w:trHeight w:val="982"/>
        </w:trPr>
        <w:tc>
          <w:tcPr>
            <w:tcW w:w="851" w:type="dxa"/>
            <w:vMerge w:val="restart"/>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1).</w:t>
            </w:r>
          </w:p>
        </w:tc>
        <w:tc>
          <w:tcPr>
            <w:tcW w:w="5245" w:type="dxa"/>
          </w:tcPr>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Rodzaj mienia</w:t>
            </w:r>
          </w:p>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(dla odrębn</w:t>
            </w:r>
            <w:r w:rsidR="00932EE1">
              <w:rPr>
                <w:rFonts w:ascii="Times New Roman" w:hAnsi="Times New Roman"/>
                <w:b/>
                <w:bCs/>
                <w:sz w:val="24"/>
                <w:szCs w:val="24"/>
              </w:rPr>
              <w:t>ych jednostek wg załącznika nr 10</w:t>
            </w:r>
            <w:r w:rsidRPr="00715661">
              <w:rPr>
                <w:rFonts w:ascii="Times New Roman" w:hAnsi="Times New Roman"/>
                <w:b/>
                <w:bCs/>
                <w:sz w:val="24"/>
                <w:szCs w:val="24"/>
              </w:rPr>
              <w:t>)</w:t>
            </w:r>
          </w:p>
        </w:tc>
        <w:tc>
          <w:tcPr>
            <w:tcW w:w="4252" w:type="dxa"/>
          </w:tcPr>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Suma ubezpieczenia w PLN (dla odrębny</w:t>
            </w:r>
            <w:r w:rsidR="00932EE1">
              <w:rPr>
                <w:rFonts w:ascii="Times New Roman" w:hAnsi="Times New Roman"/>
                <w:b/>
                <w:bCs/>
                <w:sz w:val="24"/>
                <w:szCs w:val="24"/>
              </w:rPr>
              <w:t>ch  jednostek wg załącznika nr 10</w:t>
            </w:r>
            <w:r w:rsidRPr="00715661">
              <w:rPr>
                <w:rFonts w:ascii="Times New Roman" w:hAnsi="Times New Roman"/>
                <w:b/>
                <w:bCs/>
                <w:sz w:val="24"/>
                <w:szCs w:val="24"/>
              </w:rPr>
              <w:t>)</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Majątek trwały:</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Budynki</w:t>
            </w:r>
          </w:p>
        </w:tc>
        <w:tc>
          <w:tcPr>
            <w:tcW w:w="4252" w:type="dxa"/>
            <w:shd w:val="clear" w:color="auto" w:fill="FFFFFF"/>
            <w:vAlign w:val="center"/>
          </w:tcPr>
          <w:p w:rsidR="005E33B2" w:rsidRPr="00A40DB6" w:rsidRDefault="009207AD" w:rsidP="00715661">
            <w:pPr>
              <w:spacing w:after="0" w:line="240" w:lineRule="auto"/>
              <w:jc w:val="center"/>
              <w:rPr>
                <w:rFonts w:ascii="Times New Roman" w:hAnsi="Times New Roman"/>
                <w:sz w:val="24"/>
                <w:szCs w:val="24"/>
              </w:rPr>
            </w:pPr>
            <w:r>
              <w:rPr>
                <w:rFonts w:ascii="Times New Roman" w:hAnsi="Times New Roman"/>
                <w:sz w:val="24"/>
                <w:szCs w:val="24"/>
              </w:rPr>
              <w:t>51 843 033,60</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2E68D6"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Budowle</w:t>
            </w:r>
          </w:p>
          <w:p w:rsidR="00C76D85" w:rsidRPr="00715661" w:rsidRDefault="00C76D85" w:rsidP="00715661">
            <w:pPr>
              <w:spacing w:after="0" w:line="240" w:lineRule="auto"/>
              <w:rPr>
                <w:rFonts w:ascii="Times New Roman" w:hAnsi="Times New Roman"/>
                <w:sz w:val="24"/>
                <w:szCs w:val="24"/>
              </w:rPr>
            </w:pPr>
            <w:r>
              <w:rPr>
                <w:rFonts w:ascii="Times New Roman" w:hAnsi="Times New Roman"/>
                <w:sz w:val="24"/>
                <w:szCs w:val="24"/>
              </w:rPr>
              <w:t xml:space="preserve">z wyłączeniem </w:t>
            </w:r>
            <w:r w:rsidRPr="00C76D85">
              <w:rPr>
                <w:rFonts w:ascii="Times New Roman" w:hAnsi="Times New Roman"/>
                <w:sz w:val="24"/>
                <w:szCs w:val="24"/>
              </w:rPr>
              <w:t>budowli będących drogami, chodnikami, placami, parkingami i mostami</w:t>
            </w:r>
          </w:p>
        </w:tc>
        <w:tc>
          <w:tcPr>
            <w:tcW w:w="4252" w:type="dxa"/>
            <w:shd w:val="clear" w:color="auto" w:fill="FFFFFF"/>
            <w:vAlign w:val="bottom"/>
          </w:tcPr>
          <w:p w:rsidR="002E68D6" w:rsidRPr="00A40DB6" w:rsidRDefault="00B67760" w:rsidP="00715661">
            <w:pPr>
              <w:spacing w:after="0" w:line="240" w:lineRule="auto"/>
              <w:jc w:val="center"/>
              <w:rPr>
                <w:rFonts w:ascii="Times New Roman" w:hAnsi="Times New Roman"/>
                <w:sz w:val="24"/>
                <w:szCs w:val="24"/>
              </w:rPr>
            </w:pPr>
            <w:r w:rsidRPr="00B67760">
              <w:rPr>
                <w:rFonts w:ascii="Times New Roman" w:hAnsi="Times New Roman"/>
                <w:sz w:val="24"/>
                <w:szCs w:val="24"/>
              </w:rPr>
              <w:t>4 748 423,94</w:t>
            </w:r>
          </w:p>
          <w:p w:rsidR="002E68D6" w:rsidRPr="00A40DB6" w:rsidRDefault="00A40DB6" w:rsidP="00B94A1B">
            <w:pPr>
              <w:spacing w:after="0" w:line="240" w:lineRule="auto"/>
              <w:rPr>
                <w:rFonts w:ascii="Times New Roman" w:hAnsi="Times New Roman"/>
                <w:sz w:val="24"/>
                <w:szCs w:val="24"/>
              </w:rPr>
            </w:pPr>
            <w:r w:rsidRPr="00A40DB6">
              <w:rPr>
                <w:rFonts w:ascii="Times New Roman" w:hAnsi="Times New Roman"/>
                <w:sz w:val="24"/>
                <w:szCs w:val="24"/>
              </w:rPr>
              <w:t xml:space="preserve">            </w:t>
            </w:r>
            <w:r>
              <w:rPr>
                <w:rFonts w:ascii="Times New Roman" w:hAnsi="Times New Roman"/>
                <w:sz w:val="24"/>
                <w:szCs w:val="24"/>
              </w:rPr>
              <w:t xml:space="preserve">   </w:t>
            </w:r>
            <w:r w:rsidRPr="00A40DB6">
              <w:rPr>
                <w:rFonts w:ascii="Times New Roman" w:hAnsi="Times New Roman"/>
                <w:sz w:val="24"/>
                <w:szCs w:val="24"/>
              </w:rPr>
              <w:t xml:space="preserve">     </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 Pozostałe środki trwałe i wyposażenie (w tym wyposażenie placów zabaw), środki </w:t>
            </w:r>
            <w:proofErr w:type="spellStart"/>
            <w:r w:rsidRPr="00715661">
              <w:rPr>
                <w:rFonts w:ascii="Times New Roman" w:hAnsi="Times New Roman"/>
                <w:sz w:val="24"/>
                <w:szCs w:val="24"/>
              </w:rPr>
              <w:t>niskocenne</w:t>
            </w:r>
            <w:proofErr w:type="spellEnd"/>
          </w:p>
        </w:tc>
        <w:tc>
          <w:tcPr>
            <w:tcW w:w="4252" w:type="dxa"/>
            <w:shd w:val="clear" w:color="auto" w:fill="FFFFFF"/>
            <w:vAlign w:val="center"/>
          </w:tcPr>
          <w:p w:rsidR="005E33B2" w:rsidRPr="00687EFC" w:rsidRDefault="00A40DB6" w:rsidP="00715661">
            <w:pPr>
              <w:spacing w:after="0" w:line="240" w:lineRule="auto"/>
              <w:jc w:val="center"/>
              <w:rPr>
                <w:rFonts w:ascii="Times New Roman" w:hAnsi="Times New Roman"/>
                <w:sz w:val="24"/>
                <w:szCs w:val="24"/>
                <w:highlight w:val="yellow"/>
              </w:rPr>
            </w:pPr>
            <w:r w:rsidRPr="00A40DB6">
              <w:rPr>
                <w:rFonts w:ascii="Times New Roman" w:hAnsi="Times New Roman"/>
                <w:sz w:val="24"/>
                <w:szCs w:val="24"/>
              </w:rPr>
              <w:t>13 180 975,</w:t>
            </w:r>
            <w:r>
              <w:rPr>
                <w:rFonts w:ascii="Times New Roman" w:hAnsi="Times New Roman"/>
                <w:sz w:val="24"/>
                <w:szCs w:val="24"/>
              </w:rPr>
              <w:t xml:space="preserve">42 </w:t>
            </w:r>
          </w:p>
        </w:tc>
      </w:tr>
      <w:tr w:rsidR="005E33B2" w:rsidRPr="00715661" w:rsidTr="00B94A1B">
        <w:trPr>
          <w:trHeight w:val="913"/>
        </w:trPr>
        <w:tc>
          <w:tcPr>
            <w:tcW w:w="851" w:type="dxa"/>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B94A1B" w:rsidRDefault="005E33B2" w:rsidP="00657383">
            <w:pPr>
              <w:spacing w:after="0" w:line="240" w:lineRule="auto"/>
              <w:rPr>
                <w:rFonts w:ascii="Times New Roman" w:hAnsi="Times New Roman"/>
                <w:sz w:val="24"/>
                <w:szCs w:val="24"/>
              </w:rPr>
            </w:pPr>
            <w:r w:rsidRPr="00B94A1B">
              <w:rPr>
                <w:rFonts w:ascii="Times New Roman" w:hAnsi="Times New Roman"/>
                <w:sz w:val="24"/>
                <w:szCs w:val="24"/>
              </w:rPr>
              <w:t>-Muzealia: dzieła sztuki, eksponaty, przedmioty zabytkowe, artystyczne, unikalne, kolekcjonerskie – zb</w:t>
            </w:r>
            <w:r w:rsidR="00657383" w:rsidRPr="00B94A1B">
              <w:rPr>
                <w:rFonts w:ascii="Times New Roman" w:hAnsi="Times New Roman"/>
                <w:sz w:val="24"/>
                <w:szCs w:val="24"/>
              </w:rPr>
              <w:t>iory oraz zbiory biblioteczne</w:t>
            </w:r>
            <w:r w:rsidR="00C90A46" w:rsidRPr="00B94A1B">
              <w:rPr>
                <w:rFonts w:ascii="Times New Roman" w:hAnsi="Times New Roman"/>
                <w:sz w:val="24"/>
                <w:szCs w:val="24"/>
              </w:rPr>
              <w:t>, dobra kultury</w:t>
            </w:r>
          </w:p>
        </w:tc>
        <w:tc>
          <w:tcPr>
            <w:tcW w:w="4252" w:type="dxa"/>
            <w:shd w:val="clear" w:color="auto" w:fill="FFFFFF"/>
            <w:vAlign w:val="center"/>
          </w:tcPr>
          <w:p w:rsidR="005E33B2" w:rsidRPr="00687EFC" w:rsidRDefault="004D7485" w:rsidP="00715661">
            <w:pPr>
              <w:spacing w:after="0" w:line="240" w:lineRule="auto"/>
              <w:jc w:val="center"/>
              <w:rPr>
                <w:rFonts w:ascii="Times New Roman" w:hAnsi="Times New Roman"/>
                <w:sz w:val="24"/>
                <w:szCs w:val="24"/>
                <w:highlight w:val="yellow"/>
              </w:rPr>
            </w:pPr>
            <w:r w:rsidRPr="00A40DB6">
              <w:rPr>
                <w:rFonts w:ascii="Times New Roman" w:hAnsi="Times New Roman"/>
                <w:sz w:val="24"/>
                <w:szCs w:val="24"/>
              </w:rPr>
              <w:t>1 423 752,31</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2).</w:t>
            </w: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Nakłady inwestycyjne</w:t>
            </w:r>
          </w:p>
        </w:tc>
        <w:tc>
          <w:tcPr>
            <w:tcW w:w="4252" w:type="dxa"/>
            <w:shd w:val="clear" w:color="auto" w:fill="FFFFFF"/>
            <w:vAlign w:val="center"/>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500 000,00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3).</w:t>
            </w:r>
          </w:p>
        </w:tc>
        <w:tc>
          <w:tcPr>
            <w:tcW w:w="5245" w:type="dxa"/>
          </w:tcPr>
          <w:p w:rsidR="005E33B2" w:rsidRPr="00A40DB6" w:rsidRDefault="005E33B2" w:rsidP="00715661">
            <w:pPr>
              <w:spacing w:after="0" w:line="240" w:lineRule="auto"/>
              <w:rPr>
                <w:rFonts w:ascii="Times New Roman" w:hAnsi="Times New Roman"/>
                <w:sz w:val="24"/>
                <w:szCs w:val="24"/>
              </w:rPr>
            </w:pPr>
            <w:r w:rsidRPr="00A40DB6">
              <w:rPr>
                <w:rFonts w:ascii="Times New Roman" w:hAnsi="Times New Roman"/>
                <w:sz w:val="24"/>
                <w:szCs w:val="24"/>
              </w:rPr>
              <w:t>Majątek obrotowy</w:t>
            </w:r>
          </w:p>
        </w:tc>
        <w:tc>
          <w:tcPr>
            <w:tcW w:w="4252" w:type="dxa"/>
            <w:shd w:val="clear" w:color="auto" w:fill="FFFFFF"/>
            <w:vAlign w:val="bottom"/>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250 000,00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4).</w:t>
            </w:r>
          </w:p>
        </w:tc>
        <w:tc>
          <w:tcPr>
            <w:tcW w:w="5245" w:type="dxa"/>
          </w:tcPr>
          <w:p w:rsidR="005E33B2" w:rsidRPr="00A40DB6" w:rsidRDefault="0067141E" w:rsidP="00715661">
            <w:pPr>
              <w:spacing w:after="0" w:line="240" w:lineRule="auto"/>
              <w:rPr>
                <w:rFonts w:ascii="Times New Roman" w:hAnsi="Times New Roman"/>
                <w:sz w:val="24"/>
                <w:szCs w:val="24"/>
              </w:rPr>
            </w:pPr>
            <w:r w:rsidRPr="00A40DB6">
              <w:rPr>
                <w:rFonts w:ascii="Times New Roman" w:hAnsi="Times New Roman"/>
                <w:sz w:val="24"/>
                <w:szCs w:val="24"/>
              </w:rPr>
              <w:t>Mienie pracownicze (</w:t>
            </w:r>
            <w:r w:rsidR="004D7485" w:rsidRPr="00A40DB6">
              <w:rPr>
                <w:rFonts w:ascii="Times New Roman" w:hAnsi="Times New Roman"/>
                <w:sz w:val="24"/>
                <w:szCs w:val="24"/>
              </w:rPr>
              <w:t>1066</w:t>
            </w:r>
            <w:r w:rsidR="005E33B2" w:rsidRPr="00A40DB6">
              <w:rPr>
                <w:rFonts w:ascii="Times New Roman" w:hAnsi="Times New Roman"/>
                <w:sz w:val="24"/>
                <w:szCs w:val="24"/>
              </w:rPr>
              <w:t xml:space="preserve"> osób x 300,00 PLN)</w:t>
            </w:r>
          </w:p>
        </w:tc>
        <w:tc>
          <w:tcPr>
            <w:tcW w:w="4252" w:type="dxa"/>
            <w:shd w:val="clear" w:color="auto" w:fill="FFFFFF"/>
            <w:vAlign w:val="bottom"/>
          </w:tcPr>
          <w:p w:rsidR="005E33B2" w:rsidRPr="00A40DB6" w:rsidRDefault="00020809" w:rsidP="00715661">
            <w:pPr>
              <w:spacing w:after="0" w:line="240" w:lineRule="auto"/>
              <w:jc w:val="center"/>
              <w:rPr>
                <w:rFonts w:ascii="Times New Roman" w:hAnsi="Times New Roman"/>
                <w:sz w:val="24"/>
                <w:szCs w:val="24"/>
              </w:rPr>
            </w:pPr>
            <w:r w:rsidRPr="00A40DB6">
              <w:rPr>
                <w:rFonts w:ascii="Times New Roman" w:hAnsi="Times New Roman"/>
                <w:sz w:val="24"/>
                <w:szCs w:val="24"/>
              </w:rPr>
              <w:t xml:space="preserve">       </w:t>
            </w:r>
            <w:r w:rsidR="004D7485" w:rsidRPr="00A40DB6">
              <w:rPr>
                <w:rFonts w:ascii="Times New Roman" w:hAnsi="Times New Roman"/>
                <w:sz w:val="24"/>
                <w:szCs w:val="24"/>
              </w:rPr>
              <w:t>319 8</w:t>
            </w:r>
            <w:r w:rsidR="006C32AF" w:rsidRPr="00A40DB6">
              <w:rPr>
                <w:rFonts w:ascii="Times New Roman" w:hAnsi="Times New Roman"/>
                <w:sz w:val="24"/>
                <w:szCs w:val="24"/>
              </w:rPr>
              <w:t>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5).</w:t>
            </w: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w:t>
            </w:r>
          </w:p>
        </w:tc>
        <w:tc>
          <w:tcPr>
            <w:tcW w:w="4252" w:type="dxa"/>
            <w:shd w:val="clear" w:color="auto" w:fill="FFFFFF"/>
            <w:vAlign w:val="center"/>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100 000,00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b/>
                <w:sz w:val="24"/>
                <w:szCs w:val="24"/>
              </w:rPr>
            </w:pPr>
            <w:r w:rsidRPr="00715661">
              <w:rPr>
                <w:rFonts w:ascii="Times New Roman" w:hAnsi="Times New Roman"/>
                <w:b/>
                <w:sz w:val="24"/>
                <w:szCs w:val="24"/>
              </w:rPr>
              <w:t>RAZEM</w:t>
            </w:r>
          </w:p>
        </w:tc>
        <w:tc>
          <w:tcPr>
            <w:tcW w:w="4252" w:type="dxa"/>
            <w:shd w:val="clear" w:color="auto" w:fill="FFFFFF"/>
            <w:vAlign w:val="bottom"/>
          </w:tcPr>
          <w:p w:rsidR="005E33B2" w:rsidRPr="00687EFC" w:rsidRDefault="00A40DB6" w:rsidP="00114528">
            <w:pPr>
              <w:spacing w:after="0" w:line="240" w:lineRule="auto"/>
              <w:ind w:left="360"/>
              <w:rPr>
                <w:rFonts w:ascii="Times New Roman" w:hAnsi="Times New Roman"/>
                <w:b/>
                <w:bCs/>
                <w:sz w:val="24"/>
                <w:szCs w:val="24"/>
                <w:highlight w:val="yellow"/>
              </w:rPr>
            </w:pPr>
            <w:r>
              <w:rPr>
                <w:rFonts w:ascii="Times New Roman" w:hAnsi="Times New Roman"/>
                <w:b/>
                <w:bCs/>
                <w:sz w:val="24"/>
                <w:szCs w:val="24"/>
              </w:rPr>
              <w:t xml:space="preserve">               </w:t>
            </w:r>
            <w:r w:rsidR="00C76D85">
              <w:rPr>
                <w:rFonts w:ascii="Times New Roman" w:hAnsi="Times New Roman"/>
                <w:b/>
                <w:bCs/>
                <w:sz w:val="24"/>
                <w:szCs w:val="24"/>
              </w:rPr>
              <w:t>72 365 985</w:t>
            </w:r>
            <w:r w:rsidR="00114528" w:rsidRPr="00114528">
              <w:rPr>
                <w:rFonts w:ascii="Times New Roman" w:hAnsi="Times New Roman"/>
                <w:b/>
                <w:bCs/>
                <w:sz w:val="24"/>
                <w:szCs w:val="24"/>
              </w:rPr>
              <w:t>,27</w:t>
            </w:r>
          </w:p>
        </w:tc>
      </w:tr>
    </w:tbl>
    <w:p w:rsidR="005E33B2" w:rsidRDefault="005E33B2" w:rsidP="00722AD4">
      <w:pPr>
        <w:spacing w:after="0" w:line="360" w:lineRule="auto"/>
        <w:rPr>
          <w:rFonts w:ascii="Times New Roman" w:hAnsi="Times New Roman"/>
          <w:sz w:val="24"/>
          <w:szCs w:val="24"/>
        </w:rPr>
      </w:pPr>
    </w:p>
    <w:p w:rsidR="00C77916" w:rsidRPr="0062630D" w:rsidRDefault="00C77916" w:rsidP="00722AD4">
      <w:pPr>
        <w:spacing w:after="0" w:line="360" w:lineRule="auto"/>
        <w:rPr>
          <w:rFonts w:ascii="Times New Roman" w:hAnsi="Times New Roman"/>
        </w:rPr>
      </w:pPr>
    </w:p>
    <w:p w:rsidR="00BB721C" w:rsidRDefault="00BB721C" w:rsidP="0062630D">
      <w:pPr>
        <w:spacing w:after="0" w:line="360" w:lineRule="auto"/>
        <w:rPr>
          <w:rFonts w:ascii="Times New Roman" w:hAnsi="Times New Roman"/>
          <w:b/>
        </w:rPr>
      </w:pPr>
    </w:p>
    <w:p w:rsidR="00BB721C" w:rsidRDefault="00BB721C" w:rsidP="0062630D">
      <w:pPr>
        <w:spacing w:after="0" w:line="360" w:lineRule="auto"/>
        <w:rPr>
          <w:rFonts w:ascii="Times New Roman" w:hAnsi="Times New Roman"/>
          <w:b/>
        </w:rPr>
      </w:pPr>
    </w:p>
    <w:p w:rsidR="00E3661B" w:rsidRPr="00114528" w:rsidRDefault="0062630D" w:rsidP="0062630D">
      <w:pPr>
        <w:spacing w:after="0" w:line="360" w:lineRule="auto"/>
        <w:rPr>
          <w:rFonts w:ascii="Times New Roman" w:hAnsi="Times New Roman"/>
          <w:b/>
        </w:rPr>
      </w:pPr>
      <w:r w:rsidRPr="00114528">
        <w:rPr>
          <w:rFonts w:ascii="Times New Roman" w:hAnsi="Times New Roman"/>
          <w:b/>
        </w:rPr>
        <w:t>UWAGA</w:t>
      </w:r>
      <w:r w:rsidR="00E3661B" w:rsidRPr="00114528">
        <w:rPr>
          <w:rFonts w:ascii="Times New Roman" w:hAnsi="Times New Roman"/>
          <w:b/>
        </w:rPr>
        <w:t>!</w:t>
      </w:r>
    </w:p>
    <w:p w:rsidR="00C77916" w:rsidRPr="0062630D" w:rsidRDefault="0062630D" w:rsidP="00114528">
      <w:pPr>
        <w:spacing w:after="0" w:line="360" w:lineRule="auto"/>
        <w:jc w:val="both"/>
        <w:rPr>
          <w:rFonts w:ascii="Times New Roman" w:hAnsi="Times New Roman"/>
          <w:b/>
        </w:rPr>
      </w:pPr>
      <w:r w:rsidRPr="00114528">
        <w:rPr>
          <w:rFonts w:ascii="Times New Roman" w:hAnsi="Times New Roman"/>
          <w:b/>
        </w:rPr>
        <w:t xml:space="preserve">W ODNIESIENIU DO </w:t>
      </w:r>
      <w:r w:rsidRPr="00114528">
        <w:rPr>
          <w:rFonts w:ascii="Times New Roman" w:eastAsia="Tahoma" w:hAnsi="Times New Roman"/>
          <w:b/>
          <w:lang w:eastAsia="pl-PL"/>
        </w:rPr>
        <w:t>UB</w:t>
      </w:r>
      <w:r w:rsidR="00B94A1B" w:rsidRPr="00114528">
        <w:rPr>
          <w:rFonts w:ascii="Times New Roman" w:eastAsia="Tahoma" w:hAnsi="Times New Roman"/>
          <w:b/>
          <w:lang w:eastAsia="pl-PL"/>
        </w:rPr>
        <w:t>EZPIECZENIA BUDOWLI BĘDĄCYCH DRO</w:t>
      </w:r>
      <w:r w:rsidRPr="00114528">
        <w:rPr>
          <w:rFonts w:ascii="Times New Roman" w:eastAsia="Tahoma" w:hAnsi="Times New Roman"/>
          <w:b/>
          <w:lang w:eastAsia="pl-PL"/>
        </w:rPr>
        <w:t>GAMI, CHODNIKAMI, PLACAMI, PARKINGAMI I MOSTAMI  ZASTOSOWANIE MA</w:t>
      </w:r>
      <w:r w:rsidR="00114528" w:rsidRPr="00114528">
        <w:rPr>
          <w:rFonts w:ascii="Times New Roman" w:eastAsia="Tahoma" w:hAnsi="Times New Roman"/>
          <w:b/>
          <w:lang w:eastAsia="pl-PL"/>
        </w:rPr>
        <w:t xml:space="preserve"> FAKULTATYWNY</w:t>
      </w:r>
      <w:r w:rsidRPr="00114528">
        <w:rPr>
          <w:rFonts w:ascii="Times New Roman" w:eastAsia="Tahoma" w:hAnsi="Times New Roman"/>
          <w:b/>
          <w:lang w:eastAsia="pl-PL"/>
        </w:rPr>
        <w:t xml:space="preserve"> LIMIT ODPOWIEDZIALNOŚCI W WYSOKOŚCI </w:t>
      </w:r>
      <w:r w:rsidR="00114528" w:rsidRPr="00114528">
        <w:rPr>
          <w:rFonts w:ascii="Times New Roman" w:eastAsia="Tahoma" w:hAnsi="Times New Roman"/>
          <w:b/>
          <w:sz w:val="24"/>
          <w:lang w:eastAsia="pl-PL"/>
        </w:rPr>
        <w:t xml:space="preserve">WYNIKAJĄCEJ Z KRYTERIUM DODATKOWEGO </w:t>
      </w:r>
      <w:r w:rsidRPr="00114528">
        <w:rPr>
          <w:rFonts w:ascii="Times New Roman" w:eastAsia="Tahoma" w:hAnsi="Times New Roman"/>
          <w:b/>
          <w:lang w:eastAsia="pl-PL"/>
        </w:rPr>
        <w:t>NA JEDNO I WSZYSTKIE ZDARZENIA.</w:t>
      </w:r>
      <w:r w:rsidR="00114528" w:rsidRPr="00114528">
        <w:rPr>
          <w:rFonts w:ascii="Times New Roman" w:eastAsia="Tahoma" w:hAnsi="Times New Roman"/>
          <w:b/>
          <w:lang w:eastAsia="pl-PL"/>
        </w:rPr>
        <w:t xml:space="preserve"> WARTOŚĆ PRZEDMIOTOWYCH BUDOWLI - 93 120 816,12</w:t>
      </w:r>
    </w:p>
    <w:p w:rsidR="00C90A46" w:rsidRDefault="00C90A46" w:rsidP="00722AD4">
      <w:pPr>
        <w:spacing w:after="0" w:line="360" w:lineRule="auto"/>
        <w:rPr>
          <w:rFonts w:ascii="Times New Roman" w:hAnsi="Times New Roman"/>
          <w:sz w:val="24"/>
          <w:szCs w:val="24"/>
        </w:rPr>
      </w:pPr>
    </w:p>
    <w:p w:rsidR="00C76D85" w:rsidRDefault="00C76D85" w:rsidP="00722AD4">
      <w:pPr>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lastRenderedPageBreak/>
        <w:t>2.</w:t>
      </w:r>
      <w:r w:rsidR="005E33B2" w:rsidRPr="00E942C1">
        <w:rPr>
          <w:rFonts w:ascii="Times New Roman" w:hAnsi="Times New Roman"/>
          <w:b/>
          <w:sz w:val="24"/>
          <w:szCs w:val="24"/>
        </w:rPr>
        <w:t xml:space="preserve"> Określenie rodzaju wartości:</w:t>
      </w:r>
    </w:p>
    <w:p w:rsidR="005E33B2" w:rsidRDefault="005E33B2" w:rsidP="00A526D6">
      <w:pPr>
        <w:pStyle w:val="Akapitzlist"/>
        <w:spacing w:after="0" w:line="240" w:lineRule="auto"/>
        <w:rPr>
          <w:rFonts w:ascii="Times New Roman" w:hAnsi="Times New Roman"/>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5"/>
        <w:gridCol w:w="4813"/>
      </w:tblGrid>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 xml:space="preserve">Dla majątku trwałego </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księgowa brutto</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Nakłady inwestycyjne</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odtworzeniowa</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majątku obrotowego</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zakupu lub koszt wytworzenia</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muzealiów i zbiorów bibliotecznych</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księgowa brutto</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mienia pracowniczego</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rzeczywista</w:t>
            </w:r>
          </w:p>
        </w:tc>
      </w:tr>
      <w:tr w:rsidR="00597BEF" w:rsidRPr="00715661"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wartości pieniężnych</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nominalna</w:t>
            </w:r>
          </w:p>
        </w:tc>
      </w:tr>
    </w:tbl>
    <w:p w:rsidR="005E33B2" w:rsidRDefault="005E33B2" w:rsidP="00A526D6">
      <w:pPr>
        <w:pStyle w:val="Akapitzlist"/>
        <w:spacing w:after="0" w:line="240" w:lineRule="auto"/>
        <w:rPr>
          <w:rFonts w:ascii="Times New Roman" w:hAnsi="Times New Roman"/>
          <w:sz w:val="24"/>
          <w:szCs w:val="24"/>
        </w:rPr>
      </w:pPr>
    </w:p>
    <w:p w:rsidR="005E33B2" w:rsidRDefault="005E33B2" w:rsidP="00722AD4">
      <w:pPr>
        <w:pStyle w:val="Akapitzlist"/>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t>3.</w:t>
      </w:r>
      <w:r w:rsidR="005E33B2" w:rsidRPr="00E942C1">
        <w:rPr>
          <w:rFonts w:ascii="Times New Roman" w:hAnsi="Times New Roman"/>
          <w:b/>
          <w:sz w:val="24"/>
          <w:szCs w:val="24"/>
        </w:rPr>
        <w:t>Ubezpieczenie wg systemu:</w:t>
      </w:r>
    </w:p>
    <w:p w:rsidR="005E33B2" w:rsidRDefault="005E33B2" w:rsidP="00A526D6">
      <w:pPr>
        <w:pStyle w:val="Akapitzlist"/>
        <w:spacing w:after="0" w:line="240" w:lineRule="auto"/>
        <w:rPr>
          <w:rFonts w:ascii="Times New Roman" w:hAnsi="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654"/>
      </w:tblGrid>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Sumy stałe</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majątku trwałego</w:t>
            </w:r>
          </w:p>
        </w:tc>
      </w:tr>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Pierwsze ryzyko</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majątku obrotowego, nakładów inwestycyjnych, wartości pieniężnych, mienia pracowniczego</w:t>
            </w:r>
          </w:p>
        </w:tc>
      </w:tr>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Pierwsze ryzyko</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pozostałych rozszerzeń odpowiedzialności</w:t>
            </w:r>
          </w:p>
        </w:tc>
      </w:tr>
    </w:tbl>
    <w:p w:rsidR="005E33B2" w:rsidRDefault="005E33B2" w:rsidP="00722AD4">
      <w:pPr>
        <w:spacing w:after="0" w:line="360" w:lineRule="auto"/>
        <w:rPr>
          <w:rFonts w:ascii="Times New Roman" w:hAnsi="Times New Roman"/>
          <w:sz w:val="24"/>
          <w:szCs w:val="24"/>
        </w:rPr>
      </w:pPr>
    </w:p>
    <w:p w:rsidR="005E33B2" w:rsidRDefault="00E942C1" w:rsidP="00E942C1">
      <w:pPr>
        <w:pStyle w:val="Akapitzlist"/>
        <w:spacing w:after="0" w:line="240" w:lineRule="auto"/>
        <w:ind w:hanging="294"/>
        <w:rPr>
          <w:rFonts w:ascii="Times New Roman" w:hAnsi="Times New Roman"/>
          <w:sz w:val="24"/>
          <w:szCs w:val="24"/>
        </w:rPr>
      </w:pPr>
      <w:r>
        <w:rPr>
          <w:rFonts w:ascii="Times New Roman" w:hAnsi="Times New Roman"/>
          <w:sz w:val="24"/>
          <w:szCs w:val="24"/>
        </w:rPr>
        <w:t>4.</w:t>
      </w:r>
      <w:r w:rsidR="005E33B2">
        <w:rPr>
          <w:rFonts w:ascii="Times New Roman" w:hAnsi="Times New Roman"/>
          <w:sz w:val="24"/>
          <w:szCs w:val="24"/>
        </w:rPr>
        <w:t xml:space="preserve"> </w:t>
      </w:r>
      <w:r w:rsidR="005E33B2" w:rsidRPr="0067778D">
        <w:rPr>
          <w:rFonts w:ascii="Times New Roman" w:hAnsi="Times New Roman"/>
          <w:b/>
          <w:sz w:val="24"/>
          <w:szCs w:val="24"/>
        </w:rPr>
        <w:t xml:space="preserve">Miejsce ubezpieczenia zgodnie z podanymi lokalizacjami w załączniku nr </w:t>
      </w:r>
      <w:r w:rsidR="00932EE1">
        <w:rPr>
          <w:rFonts w:ascii="Times New Roman" w:hAnsi="Times New Roman"/>
          <w:b/>
          <w:sz w:val="24"/>
          <w:szCs w:val="24"/>
        </w:rPr>
        <w:t>9 i nr 12</w:t>
      </w:r>
      <w:r w:rsidR="005E33B2" w:rsidRPr="0067778D">
        <w:rPr>
          <w:rFonts w:ascii="Times New Roman" w:hAnsi="Times New Roman"/>
          <w:b/>
          <w:sz w:val="24"/>
          <w:szCs w:val="24"/>
        </w:rPr>
        <w:t xml:space="preserve"> oraz klauzulą miejsca ubezpieczenia</w:t>
      </w:r>
      <w:r w:rsidR="005E33B2" w:rsidRPr="00722AD4">
        <w:rPr>
          <w:rFonts w:ascii="Times New Roman" w:hAnsi="Times New Roman"/>
          <w:sz w:val="24"/>
          <w:szCs w:val="24"/>
        </w:rPr>
        <w:t>.</w:t>
      </w:r>
    </w:p>
    <w:p w:rsidR="005E33B2" w:rsidRDefault="005E33B2" w:rsidP="00796A85">
      <w:pPr>
        <w:pStyle w:val="Akapitzlist"/>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t>5.</w:t>
      </w:r>
      <w:r>
        <w:rPr>
          <w:rFonts w:ascii="Times New Roman" w:hAnsi="Times New Roman"/>
          <w:b/>
          <w:sz w:val="24"/>
          <w:szCs w:val="24"/>
        </w:rPr>
        <w:t xml:space="preserve"> </w:t>
      </w:r>
      <w:r w:rsidR="005E33B2" w:rsidRPr="00E942C1">
        <w:rPr>
          <w:rFonts w:ascii="Times New Roman" w:hAnsi="Times New Roman"/>
          <w:b/>
          <w:sz w:val="24"/>
          <w:szCs w:val="24"/>
        </w:rPr>
        <w:t xml:space="preserve">Franszyzy i udziały własne oraz limity odpowiedzialności ( na jedno i wszystkie zdarzenia ) </w:t>
      </w:r>
    </w:p>
    <w:p w:rsidR="005E33B2" w:rsidRPr="005A2314" w:rsidRDefault="005E33B2" w:rsidP="00A526D6">
      <w:pPr>
        <w:spacing w:after="0" w:line="240" w:lineRule="auto"/>
        <w:ind w:firstLine="360"/>
        <w:rPr>
          <w:rFonts w:ascii="Times New Roman" w:hAnsi="Times New Roman"/>
          <w:b/>
          <w:sz w:val="24"/>
          <w:szCs w:val="24"/>
        </w:rPr>
      </w:pPr>
      <w:r w:rsidRPr="0067141E">
        <w:rPr>
          <w:rFonts w:ascii="Times New Roman" w:hAnsi="Times New Roman"/>
          <w:b/>
          <w:sz w:val="24"/>
          <w:szCs w:val="24"/>
        </w:rPr>
        <w:t>Fr</w:t>
      </w:r>
      <w:r w:rsidR="00597BEF">
        <w:rPr>
          <w:rFonts w:ascii="Times New Roman" w:hAnsi="Times New Roman"/>
          <w:b/>
          <w:sz w:val="24"/>
          <w:szCs w:val="24"/>
        </w:rPr>
        <w:t xml:space="preserve">anszyza redukcyjna w </w:t>
      </w:r>
      <w:r w:rsidR="00597BEF" w:rsidRPr="00B94A1B">
        <w:rPr>
          <w:rFonts w:ascii="Times New Roman" w:hAnsi="Times New Roman"/>
          <w:b/>
          <w:sz w:val="24"/>
          <w:szCs w:val="24"/>
        </w:rPr>
        <w:t>wysokości 2</w:t>
      </w:r>
      <w:r w:rsidRPr="00B94A1B">
        <w:rPr>
          <w:rFonts w:ascii="Times New Roman" w:hAnsi="Times New Roman"/>
          <w:b/>
          <w:sz w:val="24"/>
          <w:szCs w:val="24"/>
        </w:rPr>
        <w:t>00,00 PLN</w:t>
      </w:r>
      <w:r w:rsidR="00597BEF" w:rsidRPr="00B94A1B">
        <w:rPr>
          <w:rFonts w:ascii="Times New Roman" w:hAnsi="Times New Roman"/>
          <w:b/>
          <w:sz w:val="24"/>
          <w:szCs w:val="24"/>
        </w:rPr>
        <w:t xml:space="preserve"> dla mienia, 50 zł dla szyb </w:t>
      </w:r>
      <w:r w:rsidR="00DF4AEE" w:rsidRPr="00B94A1B">
        <w:rPr>
          <w:rFonts w:ascii="Times New Roman" w:hAnsi="Times New Roman"/>
          <w:b/>
          <w:sz w:val="24"/>
          <w:szCs w:val="24"/>
        </w:rPr>
        <w:t xml:space="preserve">i innych szklanych elementów </w:t>
      </w:r>
      <w:r w:rsidR="00597BEF" w:rsidRPr="00B94A1B">
        <w:rPr>
          <w:rFonts w:ascii="Times New Roman" w:hAnsi="Times New Roman"/>
          <w:b/>
          <w:sz w:val="24"/>
          <w:szCs w:val="24"/>
        </w:rPr>
        <w:t>od stłuczenia</w:t>
      </w:r>
      <w:r w:rsidRPr="00B94A1B">
        <w:rPr>
          <w:rFonts w:ascii="Times New Roman" w:hAnsi="Times New Roman"/>
          <w:b/>
          <w:sz w:val="24"/>
          <w:szCs w:val="24"/>
        </w:rPr>
        <w:t>; dla mienia pracowniczego i gotówki zniesiona</w:t>
      </w:r>
      <w:r w:rsidRPr="00796A85">
        <w:rPr>
          <w:rFonts w:ascii="Times New Roman" w:hAnsi="Times New Roman"/>
          <w:sz w:val="24"/>
          <w:szCs w:val="24"/>
        </w:rPr>
        <w:t>.</w:t>
      </w:r>
    </w:p>
    <w:p w:rsidR="005E33B2" w:rsidRDefault="005E33B2" w:rsidP="00A526D6">
      <w:pPr>
        <w:spacing w:after="0" w:line="240" w:lineRule="auto"/>
        <w:ind w:firstLine="360"/>
        <w:rPr>
          <w:rFonts w:ascii="Times New Roman" w:hAnsi="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6520"/>
        <w:gridCol w:w="2268"/>
      </w:tblGrid>
      <w:tr w:rsidR="005E33B2" w:rsidRPr="00715661" w:rsidTr="00715661">
        <w:tc>
          <w:tcPr>
            <w:tcW w:w="1413" w:type="dxa"/>
            <w:vMerge w:val="restart"/>
          </w:tcPr>
          <w:p w:rsidR="005E33B2" w:rsidRPr="00715661" w:rsidRDefault="005E33B2" w:rsidP="00715661">
            <w:pPr>
              <w:spacing w:after="0" w:line="360" w:lineRule="auto"/>
              <w:ind w:firstLine="360"/>
              <w:rPr>
                <w:rFonts w:ascii="Times New Roman" w:hAnsi="Times New Roman"/>
                <w:sz w:val="24"/>
                <w:szCs w:val="24"/>
              </w:rPr>
            </w:pPr>
          </w:p>
          <w:p w:rsidR="005E33B2" w:rsidRPr="00715661" w:rsidRDefault="005E33B2" w:rsidP="00715661">
            <w:pPr>
              <w:spacing w:after="0" w:line="240" w:lineRule="auto"/>
              <w:rPr>
                <w:rFonts w:ascii="Times New Roman" w:hAnsi="Times New Roman"/>
                <w:b/>
                <w:sz w:val="24"/>
                <w:szCs w:val="24"/>
              </w:rPr>
            </w:pPr>
            <w:r w:rsidRPr="00715661">
              <w:rPr>
                <w:rFonts w:ascii="Times New Roman" w:hAnsi="Times New Roman"/>
                <w:b/>
                <w:sz w:val="24"/>
                <w:szCs w:val="24"/>
              </w:rPr>
              <w:t>Limity odpowiedzialności ( na jedno i wszystkie zdarzenia )</w:t>
            </w: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z włamaniem, rabunek:</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Środki trwałe i wyposażenie (w tym środki </w:t>
            </w:r>
            <w:proofErr w:type="spellStart"/>
            <w:r w:rsidRPr="00715661">
              <w:rPr>
                <w:rFonts w:ascii="Times New Roman" w:hAnsi="Times New Roman"/>
                <w:sz w:val="24"/>
                <w:szCs w:val="24"/>
              </w:rPr>
              <w:t>niskocenne</w:t>
            </w:r>
            <w:proofErr w:type="spellEnd"/>
            <w:r w:rsidRPr="00715661">
              <w:rPr>
                <w:rFonts w:ascii="Times New Roman" w:hAnsi="Times New Roman"/>
                <w:sz w:val="24"/>
                <w:szCs w:val="24"/>
              </w:rPr>
              <w:t>), środki obrotowe, muzealia.</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 od kradzieży z włamaniem, rabunku w lokalu,</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 od rabunku w transporcie</w:t>
            </w:r>
          </w:p>
          <w:p w:rsidR="005E33B2" w:rsidRPr="00715661" w:rsidRDefault="005E33B2" w:rsidP="00715661">
            <w:pPr>
              <w:spacing w:after="0" w:line="240" w:lineRule="auto"/>
              <w:ind w:firstLine="360"/>
              <w:rPr>
                <w:rFonts w:ascii="Times New Roman" w:hAnsi="Times New Roman"/>
                <w:sz w:val="24"/>
                <w:szCs w:val="24"/>
                <w:highlight w:val="red"/>
              </w:rPr>
            </w:pPr>
          </w:p>
        </w:tc>
        <w:tc>
          <w:tcPr>
            <w:tcW w:w="2268" w:type="dxa"/>
          </w:tcPr>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 xml:space="preserve">500 000 </w:t>
            </w:r>
          </w:p>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55 000</w:t>
            </w:r>
          </w:p>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55 000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zwykła</w:t>
            </w:r>
          </w:p>
        </w:tc>
        <w:tc>
          <w:tcPr>
            <w:tcW w:w="2268" w:type="dxa"/>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20 000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mienia na zewnątrz budynków (wyposażenie placów zabaw, boisk, kortów tenisowych, napędy bram, lampy itp.)</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Dewastacja (wg definicji z postanowień dodatkowych)</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Wandalizm</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Przepięcia</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Maszyny od uszkodzeń i szkody elektryczne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Szyby </w:t>
            </w:r>
            <w:r w:rsidR="00DF4AEE">
              <w:rPr>
                <w:rFonts w:ascii="Times New Roman" w:hAnsi="Times New Roman"/>
                <w:sz w:val="24"/>
                <w:szCs w:val="24"/>
              </w:rPr>
              <w:t xml:space="preserve">i inne szklane elementy </w:t>
            </w:r>
            <w:r w:rsidRPr="00715661">
              <w:rPr>
                <w:rFonts w:ascii="Times New Roman" w:hAnsi="Times New Roman"/>
                <w:sz w:val="24"/>
                <w:szCs w:val="24"/>
              </w:rPr>
              <w:t>od stłuczenia</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Drobne prace budowlano-montażowe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rPr>
          <w:trHeight w:val="610"/>
        </w:trPr>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Transport pomiędzy lokalizacjami</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150 000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Koszty wizualizacji zewnętrznej (neony, reklamy)</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20 000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Strajki zamieszki i niepokoje społeczne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4 000 000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Akty terroryzmu</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4 000 000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Koszty przeprowadzenia ewentualnych ekspertyz dotyczących stanu mikrobiologicznego zbioru i pomieszczeń, w których były przechowywane zbiory, kosztów robocizny poniesionych na </w:t>
            </w:r>
            <w:r w:rsidRPr="00715661">
              <w:rPr>
                <w:rFonts w:ascii="Times New Roman" w:hAnsi="Times New Roman"/>
                <w:sz w:val="24"/>
                <w:szCs w:val="24"/>
              </w:rPr>
              <w:lastRenderedPageBreak/>
              <w:t>odtworzenie lub zabezpieczenie zbiorów po szkodzie przed ich degradacją dla muzealiów</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lastRenderedPageBreak/>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Koszty dodatkowe wg. klauzuli kosztów dodatkowych</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Przezorna suma ubezpieczenia</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rPr>
          <w:trHeight w:val="595"/>
        </w:trPr>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360" w:lineRule="auto"/>
              <w:rPr>
                <w:rFonts w:ascii="Times New Roman" w:hAnsi="Times New Roman"/>
                <w:sz w:val="24"/>
                <w:szCs w:val="24"/>
              </w:rPr>
            </w:pPr>
            <w:r w:rsidRPr="00715661">
              <w:rPr>
                <w:rFonts w:ascii="Times New Roman" w:hAnsi="Times New Roman"/>
                <w:sz w:val="24"/>
                <w:szCs w:val="24"/>
              </w:rPr>
              <w:t>Pozostałe ryzyka</w:t>
            </w:r>
          </w:p>
        </w:tc>
        <w:tc>
          <w:tcPr>
            <w:tcW w:w="2268" w:type="dxa"/>
            <w:shd w:val="clear" w:color="auto" w:fill="FFFFFF"/>
          </w:tcPr>
          <w:p w:rsidR="005E33B2" w:rsidRPr="00715661" w:rsidRDefault="005E33B2" w:rsidP="00715661">
            <w:pPr>
              <w:spacing w:after="0" w:line="240" w:lineRule="auto"/>
              <w:jc w:val="right"/>
              <w:rPr>
                <w:rFonts w:ascii="Times New Roman" w:hAnsi="Times New Roman"/>
                <w:sz w:val="24"/>
                <w:szCs w:val="24"/>
                <w:highlight w:val="yellow"/>
              </w:rPr>
            </w:pPr>
            <w:r w:rsidRPr="00715661">
              <w:rPr>
                <w:rFonts w:ascii="Times New Roman" w:hAnsi="Times New Roman"/>
                <w:sz w:val="24"/>
                <w:szCs w:val="24"/>
              </w:rPr>
              <w:t>Do pełnych sum ubezpieczenia</w:t>
            </w:r>
          </w:p>
        </w:tc>
      </w:tr>
    </w:tbl>
    <w:p w:rsidR="005E33B2" w:rsidRDefault="005E33B2" w:rsidP="00796A85">
      <w:pPr>
        <w:spacing w:after="0" w:line="360" w:lineRule="auto"/>
        <w:ind w:firstLine="360"/>
        <w:rPr>
          <w:rFonts w:ascii="Times New Roman" w:hAnsi="Times New Roman"/>
          <w:sz w:val="24"/>
          <w:szCs w:val="24"/>
        </w:rPr>
      </w:pPr>
    </w:p>
    <w:p w:rsidR="00C77916" w:rsidRDefault="00C77916" w:rsidP="00796A85">
      <w:pPr>
        <w:spacing w:after="0" w:line="360" w:lineRule="auto"/>
        <w:ind w:firstLine="360"/>
        <w:rPr>
          <w:rFonts w:ascii="Times New Roman" w:hAnsi="Times New Roman"/>
          <w:sz w:val="24"/>
          <w:szCs w:val="24"/>
        </w:rPr>
      </w:pPr>
    </w:p>
    <w:p w:rsidR="005E33B2" w:rsidRPr="00E942C1" w:rsidRDefault="00E942C1" w:rsidP="00E942C1">
      <w:pPr>
        <w:spacing w:after="0" w:line="360" w:lineRule="auto"/>
        <w:ind w:left="567" w:hanging="567"/>
        <w:rPr>
          <w:rFonts w:ascii="Times New Roman" w:hAnsi="Times New Roman"/>
          <w:b/>
          <w:sz w:val="24"/>
          <w:szCs w:val="24"/>
        </w:rPr>
      </w:pPr>
      <w:r>
        <w:rPr>
          <w:rFonts w:ascii="Times New Roman" w:hAnsi="Times New Roman"/>
          <w:sz w:val="24"/>
          <w:szCs w:val="24"/>
        </w:rPr>
        <w:t xml:space="preserve">6.        </w:t>
      </w:r>
      <w:r w:rsidR="005E33B2" w:rsidRPr="00E942C1">
        <w:rPr>
          <w:rFonts w:ascii="Times New Roman" w:hAnsi="Times New Roman"/>
          <w:sz w:val="24"/>
          <w:szCs w:val="24"/>
        </w:rPr>
        <w:t xml:space="preserve"> </w:t>
      </w:r>
      <w:r w:rsidR="005E33B2" w:rsidRPr="00E942C1">
        <w:rPr>
          <w:rFonts w:ascii="Times New Roman" w:hAnsi="Times New Roman"/>
          <w:b/>
          <w:sz w:val="24"/>
          <w:szCs w:val="24"/>
        </w:rPr>
        <w:t xml:space="preserve">Ubezpieczenie od wszystkich </w:t>
      </w:r>
      <w:proofErr w:type="spellStart"/>
      <w:r w:rsidR="005E33B2" w:rsidRPr="00E942C1">
        <w:rPr>
          <w:rFonts w:ascii="Times New Roman" w:hAnsi="Times New Roman"/>
          <w:b/>
          <w:sz w:val="24"/>
          <w:szCs w:val="24"/>
        </w:rPr>
        <w:t>ryzyk</w:t>
      </w:r>
      <w:proofErr w:type="spellEnd"/>
      <w:r w:rsidR="005E33B2" w:rsidRPr="00E942C1">
        <w:rPr>
          <w:rFonts w:ascii="Times New Roman" w:hAnsi="Times New Roman"/>
          <w:b/>
          <w:sz w:val="24"/>
          <w:szCs w:val="24"/>
        </w:rPr>
        <w:t xml:space="preserve"> z włączeniem ubezpieczenia:</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Kradzieży zwykłej</w:t>
      </w:r>
      <w:r>
        <w:rPr>
          <w:rFonts w:ascii="Times New Roman" w:hAnsi="Times New Roman"/>
          <w:sz w:val="24"/>
          <w:szCs w:val="24"/>
        </w:rPr>
        <w:t>,</w:t>
      </w:r>
      <w:r w:rsidRPr="003C4323">
        <w:rPr>
          <w:rFonts w:ascii="Times New Roman" w:hAnsi="Times New Roman"/>
          <w:sz w:val="24"/>
          <w:szCs w:val="24"/>
        </w:rPr>
        <w:t xml:space="preserve"> </w:t>
      </w:r>
      <w:r>
        <w:rPr>
          <w:rFonts w:ascii="Times New Roman" w:hAnsi="Times New Roman"/>
          <w:sz w:val="24"/>
          <w:szCs w:val="24"/>
        </w:rPr>
        <w:t>k</w:t>
      </w:r>
      <w:r w:rsidRPr="00C628C9">
        <w:rPr>
          <w:rFonts w:ascii="Times New Roman" w:hAnsi="Times New Roman"/>
          <w:sz w:val="24"/>
          <w:szCs w:val="24"/>
        </w:rPr>
        <w:t>radzieży z włamaniem i rabunku</w:t>
      </w:r>
      <w:r>
        <w:rPr>
          <w:rFonts w:ascii="Times New Roman" w:hAnsi="Times New Roman"/>
          <w:sz w:val="24"/>
          <w:szCs w:val="24"/>
        </w:rPr>
        <w:t>, k</w:t>
      </w:r>
      <w:r w:rsidRPr="00C628C9">
        <w:rPr>
          <w:rFonts w:ascii="Times New Roman" w:hAnsi="Times New Roman"/>
          <w:sz w:val="24"/>
          <w:szCs w:val="24"/>
        </w:rPr>
        <w:t>radzieży ubezpieczonego mienia znajdującego się na zewnątrz b</w:t>
      </w:r>
      <w:r>
        <w:rPr>
          <w:rFonts w:ascii="Times New Roman" w:hAnsi="Times New Roman"/>
          <w:sz w:val="24"/>
          <w:szCs w:val="24"/>
        </w:rPr>
        <w:t>udynków, między innymi :</w:t>
      </w:r>
      <w:r w:rsidRPr="00C628C9">
        <w:rPr>
          <w:rFonts w:ascii="Times New Roman" w:hAnsi="Times New Roman"/>
          <w:sz w:val="24"/>
          <w:szCs w:val="24"/>
        </w:rPr>
        <w:t xml:space="preserve"> napędy bram, elementy ogrodzenia, sprzęt oświetleniowy</w:t>
      </w:r>
      <w:r>
        <w:rPr>
          <w:rFonts w:ascii="Times New Roman" w:hAnsi="Times New Roman"/>
          <w:sz w:val="24"/>
          <w:szCs w:val="24"/>
        </w:rPr>
        <w:t>,</w:t>
      </w:r>
      <w:r w:rsidRPr="003C4323">
        <w:rPr>
          <w:rFonts w:ascii="Times New Roman" w:hAnsi="Times New Roman"/>
          <w:sz w:val="24"/>
          <w:szCs w:val="24"/>
        </w:rPr>
        <w:t xml:space="preserve"> </w:t>
      </w:r>
      <w:r w:rsidRPr="00C628C9">
        <w:rPr>
          <w:rFonts w:ascii="Times New Roman" w:hAnsi="Times New Roman"/>
          <w:sz w:val="24"/>
          <w:szCs w:val="24"/>
        </w:rPr>
        <w:t>wyposażenie boisk</w:t>
      </w:r>
      <w:r>
        <w:rPr>
          <w:rFonts w:ascii="Times New Roman" w:hAnsi="Times New Roman"/>
          <w:sz w:val="24"/>
          <w:szCs w:val="24"/>
        </w:rPr>
        <w:t xml:space="preserve"> czy placów zabaw, </w:t>
      </w:r>
      <w:r w:rsidRPr="00C628C9">
        <w:rPr>
          <w:rFonts w:ascii="Times New Roman" w:hAnsi="Times New Roman"/>
          <w:sz w:val="24"/>
          <w:szCs w:val="24"/>
        </w:rPr>
        <w:t xml:space="preserve">itp., </w:t>
      </w:r>
      <w:r>
        <w:rPr>
          <w:rFonts w:ascii="Times New Roman" w:hAnsi="Times New Roman"/>
          <w:sz w:val="24"/>
          <w:szCs w:val="24"/>
        </w:rPr>
        <w:t>(jeżeli mienie wymienione było przytwierdzone do podłoża lub budynków czy</w:t>
      </w:r>
      <w:r w:rsidRPr="00C628C9">
        <w:rPr>
          <w:rFonts w:ascii="Times New Roman" w:hAnsi="Times New Roman"/>
          <w:sz w:val="24"/>
          <w:szCs w:val="24"/>
        </w:rPr>
        <w:t xml:space="preserve"> budowli w sp</w:t>
      </w:r>
      <w:r>
        <w:rPr>
          <w:rFonts w:ascii="Times New Roman" w:hAnsi="Times New Roman"/>
          <w:sz w:val="24"/>
          <w:szCs w:val="24"/>
        </w:rPr>
        <w:t>osób uniemożliwiający jego kradzież bez użycia siły i/lub narzędzi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w:t>
      </w:r>
      <w:r>
        <w:rPr>
          <w:rFonts w:ascii="Times New Roman" w:hAnsi="Times New Roman"/>
          <w:sz w:val="24"/>
          <w:szCs w:val="24"/>
        </w:rPr>
        <w:t>ów napraw zabezpieczeń</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2D42DF">
        <w:rPr>
          <w:rFonts w:ascii="Times New Roman" w:hAnsi="Times New Roman"/>
          <w:sz w:val="24"/>
          <w:szCs w:val="24"/>
        </w:rPr>
        <w:t>Wandalizmu i dewastacji</w:t>
      </w:r>
    </w:p>
    <w:p w:rsidR="005E33B2" w:rsidRPr="003C0E8A"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Kosztów</w:t>
      </w:r>
      <w:r>
        <w:rPr>
          <w:rFonts w:ascii="Times New Roman" w:hAnsi="Times New Roman"/>
          <w:sz w:val="24"/>
          <w:szCs w:val="24"/>
        </w:rPr>
        <w:t xml:space="preserve"> naprawy lub wymiany podświetlanych szyldów, tablic, reklam, neonów i urządzeń do</w:t>
      </w:r>
      <w:r w:rsidRPr="00C628C9">
        <w:rPr>
          <w:rFonts w:ascii="Times New Roman" w:hAnsi="Times New Roman"/>
          <w:sz w:val="24"/>
          <w:szCs w:val="24"/>
        </w:rPr>
        <w:t xml:space="preserve"> wizualizacji z włączeniem graffiti.</w:t>
      </w:r>
    </w:p>
    <w:p w:rsidR="005E33B2" w:rsidRPr="002D42DF"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Sprzętu ele</w:t>
      </w:r>
      <w:r>
        <w:rPr>
          <w:rFonts w:ascii="Times New Roman" w:hAnsi="Times New Roman"/>
          <w:sz w:val="24"/>
          <w:szCs w:val="24"/>
        </w:rPr>
        <w:t>ktronicznego (z wyłączeniem sprzętu zgłoszonego</w:t>
      </w:r>
      <w:r w:rsidRPr="00C628C9">
        <w:rPr>
          <w:rFonts w:ascii="Times New Roman" w:hAnsi="Times New Roman"/>
          <w:sz w:val="24"/>
          <w:szCs w:val="24"/>
        </w:rPr>
        <w:t xml:space="preserve"> do ubezpieczenia sprzętu elektronicznego od wszystkich </w:t>
      </w:r>
      <w:proofErr w:type="spellStart"/>
      <w:r w:rsidRPr="00C628C9">
        <w:rPr>
          <w:rFonts w:ascii="Times New Roman" w:hAnsi="Times New Roman"/>
          <w:sz w:val="24"/>
          <w:szCs w:val="24"/>
        </w:rPr>
        <w:t>ryzyk</w:t>
      </w:r>
      <w:proofErr w:type="spellEnd"/>
      <w:r w:rsidRPr="00C628C9">
        <w:rPr>
          <w:rFonts w:ascii="Times New Roman" w:hAnsi="Times New Roman"/>
          <w:sz w:val="24"/>
          <w:szCs w:val="24"/>
        </w:rPr>
        <w:t xml:space="preserve"> ),</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Szyb i innych przedmiotów szklanych od stłuczenia,</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Zawalenia się mienia sąsiadującego</w:t>
      </w:r>
      <w:r>
        <w:rPr>
          <w:rFonts w:ascii="Times New Roman" w:hAnsi="Times New Roman"/>
          <w:sz w:val="24"/>
          <w:szCs w:val="24"/>
        </w:rPr>
        <w:t xml:space="preserve"> </w:t>
      </w:r>
      <w:r w:rsidRPr="00C628C9">
        <w:rPr>
          <w:rFonts w:ascii="Times New Roman" w:hAnsi="Times New Roman"/>
          <w:sz w:val="24"/>
          <w:szCs w:val="24"/>
        </w:rPr>
        <w:t>na ubezpieczone mienie (w tym m.in. drzew, masztów,</w:t>
      </w:r>
      <w:r>
        <w:rPr>
          <w:rFonts w:ascii="Times New Roman" w:hAnsi="Times New Roman"/>
          <w:sz w:val="24"/>
          <w:szCs w:val="24"/>
        </w:rPr>
        <w:t xml:space="preserve"> elementów ogrodzenia, słupów linii energetycznych i telekomunikacyjnych,</w:t>
      </w:r>
      <w:r w:rsidRPr="00C628C9">
        <w:rPr>
          <w:rFonts w:ascii="Times New Roman" w:hAnsi="Times New Roman"/>
          <w:sz w:val="24"/>
          <w:szCs w:val="24"/>
        </w:rPr>
        <w:t xml:space="preserve"> kominów itp.)</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Zalegania śniegu i lodu na dachach obiektów</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 xml:space="preserve">Odpowiedzialności za szkody powstałe podczas naprawy, konserwacji, remontu lub </w:t>
      </w:r>
      <w:r>
        <w:rPr>
          <w:rFonts w:ascii="Times New Roman" w:hAnsi="Times New Roman"/>
          <w:sz w:val="24"/>
          <w:szCs w:val="24"/>
        </w:rPr>
        <w:t xml:space="preserve">montażu oraz </w:t>
      </w:r>
      <w:r w:rsidRPr="00C628C9">
        <w:rPr>
          <w:rFonts w:ascii="Times New Roman" w:hAnsi="Times New Roman"/>
          <w:sz w:val="24"/>
          <w:szCs w:val="24"/>
        </w:rPr>
        <w:t>przebudowy ubezpieczonego mienia</w:t>
      </w:r>
      <w:r>
        <w:rPr>
          <w:rFonts w:ascii="Times New Roman" w:hAnsi="Times New Roman"/>
          <w:sz w:val="24"/>
          <w:szCs w:val="24"/>
        </w:rPr>
        <w:t xml:space="preserve"> lub w ubezpieczonym mieniu</w:t>
      </w:r>
      <w:r w:rsidRPr="00C628C9">
        <w:rPr>
          <w:rFonts w:ascii="Times New Roman" w:hAnsi="Times New Roman"/>
          <w:sz w:val="24"/>
          <w:szCs w:val="24"/>
        </w:rPr>
        <w:t xml:space="preserve"> pod warunkiem, że ww. czynności nie wymagały odpowiedniej zgody wg prawa budowlanego,</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Zakłóceń lub przerwy w dostawie mediów,</w:t>
      </w:r>
    </w:p>
    <w:p w:rsidR="005E33B2" w:rsidRPr="00C628C9"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Przepięć,</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7A77BE">
        <w:rPr>
          <w:rFonts w:ascii="Times New Roman" w:hAnsi="Times New Roman"/>
          <w:sz w:val="24"/>
          <w:szCs w:val="24"/>
        </w:rPr>
        <w:t>Ubezpieczenia maszyn od uszkodzeń i szkód elektrycznych</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Katastrofy budowlanej</w:t>
      </w:r>
    </w:p>
    <w:p w:rsidR="005E33B2" w:rsidRPr="006139CB" w:rsidRDefault="005E33B2" w:rsidP="00B8058D">
      <w:pPr>
        <w:pStyle w:val="Akapitzlist"/>
        <w:numPr>
          <w:ilvl w:val="0"/>
          <w:numId w:val="5"/>
        </w:numPr>
        <w:spacing w:after="0" w:line="240" w:lineRule="auto"/>
        <w:ind w:left="0" w:firstLine="0"/>
        <w:rPr>
          <w:rFonts w:ascii="Times New Roman" w:hAnsi="Times New Roman"/>
          <w:sz w:val="24"/>
          <w:szCs w:val="24"/>
        </w:rPr>
      </w:pPr>
      <w:r w:rsidRPr="006139CB">
        <w:rPr>
          <w:rFonts w:ascii="Times New Roman" w:hAnsi="Times New Roman"/>
          <w:sz w:val="24"/>
          <w:szCs w:val="24"/>
        </w:rPr>
        <w:t>Szkód we wszelkie</w:t>
      </w:r>
      <w:r>
        <w:rPr>
          <w:rFonts w:ascii="Times New Roman" w:hAnsi="Times New Roman"/>
          <w:sz w:val="24"/>
          <w:szCs w:val="24"/>
        </w:rPr>
        <w:t xml:space="preserve">go rodzaju instalacjach, również w </w:t>
      </w:r>
      <w:r w:rsidRPr="006139CB">
        <w:rPr>
          <w:rFonts w:ascii="Times New Roman" w:hAnsi="Times New Roman"/>
          <w:sz w:val="24"/>
          <w:szCs w:val="24"/>
        </w:rPr>
        <w:t xml:space="preserve"> mieniu znajdującym się pod ziemią oraz szkód w sieciach energetycznych i instalacjach elektrycznych, spowodowane m.in. uderzeniem pioruna, opadem i zaleganiem śniegu a także osadzaniem się i zaleganiem szadzi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 xml:space="preserve">Szkód w rurociągach, kablach, przewodach (również znajdujących się pod </w:t>
      </w:r>
      <w:r>
        <w:rPr>
          <w:rFonts w:ascii="Times New Roman" w:hAnsi="Times New Roman"/>
          <w:sz w:val="24"/>
          <w:szCs w:val="24"/>
        </w:rPr>
        <w:t>ziemią oraz poza lokalizacjami)</w:t>
      </w:r>
    </w:p>
    <w:p w:rsidR="005E33B2" w:rsidRPr="006139CB"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Szkó</w:t>
      </w:r>
      <w:r>
        <w:rPr>
          <w:rFonts w:ascii="Times New Roman" w:hAnsi="Times New Roman"/>
          <w:sz w:val="24"/>
          <w:szCs w:val="24"/>
        </w:rPr>
        <w:t xml:space="preserve">d powstałych w wyniku </w:t>
      </w:r>
      <w:r w:rsidRPr="00C628C9">
        <w:rPr>
          <w:rFonts w:ascii="Times New Roman" w:hAnsi="Times New Roman"/>
          <w:sz w:val="24"/>
          <w:szCs w:val="24"/>
        </w:rPr>
        <w:t xml:space="preserve"> przegrzania</w:t>
      </w:r>
      <w:r>
        <w:rPr>
          <w:rFonts w:ascii="Times New Roman" w:hAnsi="Times New Roman"/>
          <w:sz w:val="24"/>
          <w:szCs w:val="24"/>
        </w:rPr>
        <w:t xml:space="preserve"> i/lub rozerwania</w:t>
      </w:r>
      <w:r w:rsidRPr="00C628C9">
        <w:rPr>
          <w:rFonts w:ascii="Times New Roman" w:hAnsi="Times New Roman"/>
          <w:sz w:val="24"/>
          <w:szCs w:val="24"/>
        </w:rPr>
        <w:t xml:space="preserve"> zbiorników,</w:t>
      </w:r>
      <w:r>
        <w:rPr>
          <w:rFonts w:ascii="Times New Roman" w:hAnsi="Times New Roman"/>
          <w:sz w:val="24"/>
          <w:szCs w:val="24"/>
        </w:rPr>
        <w:t xml:space="preserve"> pomp itp.</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Kosztów dodatkowych wg klauzuli kosztów dodatkowych.</w:t>
      </w:r>
    </w:p>
    <w:p w:rsidR="005E33B2" w:rsidRPr="00C628C9" w:rsidRDefault="005E33B2" w:rsidP="00B8058D">
      <w:pPr>
        <w:pStyle w:val="Akapitzlist"/>
        <w:numPr>
          <w:ilvl w:val="0"/>
          <w:numId w:val="5"/>
        </w:numPr>
        <w:spacing w:after="0" w:line="240" w:lineRule="auto"/>
        <w:ind w:left="0" w:firstLine="0"/>
        <w:rPr>
          <w:rFonts w:ascii="Times New Roman" w:hAnsi="Times New Roman"/>
          <w:sz w:val="24"/>
          <w:szCs w:val="24"/>
        </w:rPr>
      </w:pPr>
      <w:r>
        <w:rPr>
          <w:rFonts w:ascii="Times New Roman" w:hAnsi="Times New Roman"/>
          <w:sz w:val="24"/>
          <w:szCs w:val="24"/>
        </w:rPr>
        <w:t>Kosztów odtworzenia muzealiów lub ich należytego zabezpieczenia przed degradacją po zaistnieniu szkody, koszty związane ze zmianą stanu mikrobiologicznego zbiorów muzealnych</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Transport</w:t>
      </w:r>
      <w:r>
        <w:rPr>
          <w:rFonts w:ascii="Times New Roman" w:hAnsi="Times New Roman"/>
          <w:sz w:val="24"/>
          <w:szCs w:val="24"/>
        </w:rPr>
        <w:t>u mienia pomiędzy lokalizacjami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3C0E8A">
        <w:rPr>
          <w:rFonts w:ascii="Times New Roman" w:hAnsi="Times New Roman"/>
          <w:sz w:val="24"/>
          <w:szCs w:val="24"/>
        </w:rPr>
        <w:t>Strajków, zamieszek i niepokoi społecznych</w:t>
      </w:r>
    </w:p>
    <w:p w:rsidR="005E33B2" w:rsidRPr="0067778D"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Aktów terroryzmu</w:t>
      </w:r>
    </w:p>
    <w:p w:rsidR="005E33B2" w:rsidRDefault="005E33B2" w:rsidP="0011349C">
      <w:pPr>
        <w:spacing w:after="0" w:line="360" w:lineRule="auto"/>
        <w:rPr>
          <w:rFonts w:ascii="Times New Roman" w:hAnsi="Times New Roman"/>
          <w:sz w:val="24"/>
          <w:szCs w:val="24"/>
        </w:rPr>
      </w:pPr>
    </w:p>
    <w:p w:rsidR="005E33B2" w:rsidRPr="00E942C1" w:rsidRDefault="00E942C1" w:rsidP="00E942C1">
      <w:pPr>
        <w:spacing w:after="0" w:line="360" w:lineRule="auto"/>
        <w:rPr>
          <w:rFonts w:ascii="Times New Roman" w:hAnsi="Times New Roman"/>
          <w:b/>
          <w:sz w:val="24"/>
          <w:szCs w:val="24"/>
        </w:rPr>
      </w:pPr>
      <w:r>
        <w:rPr>
          <w:rFonts w:ascii="Times New Roman" w:hAnsi="Times New Roman"/>
          <w:b/>
          <w:sz w:val="24"/>
          <w:szCs w:val="24"/>
        </w:rPr>
        <w:t xml:space="preserve">7.         </w:t>
      </w:r>
      <w:r w:rsidR="005E33B2" w:rsidRPr="00E942C1">
        <w:rPr>
          <w:rFonts w:ascii="Times New Roman" w:hAnsi="Times New Roman"/>
          <w:b/>
          <w:sz w:val="24"/>
          <w:szCs w:val="24"/>
        </w:rPr>
        <w:t>Informacje dodatkowe</w:t>
      </w:r>
    </w:p>
    <w:p w:rsidR="005E33B2" w:rsidRPr="008D31FB" w:rsidRDefault="005E33B2" w:rsidP="00B8058D">
      <w:pPr>
        <w:pStyle w:val="Akapitzlist"/>
        <w:numPr>
          <w:ilvl w:val="0"/>
          <w:numId w:val="9"/>
        </w:numPr>
        <w:spacing w:after="0" w:line="240" w:lineRule="auto"/>
        <w:ind w:left="0" w:firstLine="0"/>
        <w:rPr>
          <w:rFonts w:ascii="Times New Roman" w:hAnsi="Times New Roman"/>
          <w:sz w:val="24"/>
          <w:szCs w:val="24"/>
        </w:rPr>
      </w:pPr>
      <w:r w:rsidRPr="008D31FB">
        <w:rPr>
          <w:rFonts w:ascii="Times New Roman" w:hAnsi="Times New Roman"/>
          <w:sz w:val="24"/>
          <w:szCs w:val="24"/>
        </w:rPr>
        <w:t xml:space="preserve">Ww. limity odpowiedzialności dla mienia i zdarzeń ubezpieczanych na pierwsze ryzyko stanowią górną granicę odpowiedzialności Ubezpieczyciela w każdej lokalizacji i dla wszystkich jednostek i instytucji. Składka winna być uwzględniona w całkowitej składce za ubezpieczenie mienia od wszystkich </w:t>
      </w:r>
      <w:proofErr w:type="spellStart"/>
      <w:r w:rsidRPr="008D31FB">
        <w:rPr>
          <w:rFonts w:ascii="Times New Roman" w:hAnsi="Times New Roman"/>
          <w:sz w:val="24"/>
          <w:szCs w:val="24"/>
        </w:rPr>
        <w:t>ryzyk</w:t>
      </w:r>
      <w:proofErr w:type="spellEnd"/>
      <w:r w:rsidRPr="008D31FB">
        <w:rPr>
          <w:rFonts w:ascii="Times New Roman" w:hAnsi="Times New Roman"/>
          <w:sz w:val="24"/>
          <w:szCs w:val="24"/>
        </w:rPr>
        <w:t>.</w:t>
      </w:r>
    </w:p>
    <w:p w:rsidR="005E33B2" w:rsidRDefault="005E33B2" w:rsidP="0011349C">
      <w:pPr>
        <w:spacing w:after="0" w:line="240" w:lineRule="auto"/>
        <w:rPr>
          <w:rFonts w:ascii="Times New Roman" w:hAnsi="Times New Roman"/>
          <w:sz w:val="24"/>
          <w:szCs w:val="24"/>
        </w:rPr>
      </w:pPr>
    </w:p>
    <w:p w:rsidR="005E33B2" w:rsidRDefault="00932EE1" w:rsidP="00B8058D">
      <w:pPr>
        <w:pStyle w:val="Akapitzlist"/>
        <w:numPr>
          <w:ilvl w:val="0"/>
          <w:numId w:val="9"/>
        </w:numPr>
        <w:spacing w:after="0" w:line="240" w:lineRule="auto"/>
        <w:ind w:left="0" w:firstLine="0"/>
        <w:rPr>
          <w:rFonts w:ascii="Times New Roman" w:hAnsi="Times New Roman"/>
          <w:sz w:val="24"/>
          <w:szCs w:val="24"/>
        </w:rPr>
      </w:pPr>
      <w:r>
        <w:rPr>
          <w:rFonts w:ascii="Times New Roman" w:hAnsi="Times New Roman"/>
          <w:sz w:val="24"/>
          <w:szCs w:val="24"/>
        </w:rPr>
        <w:t>Załącznik nr 10</w:t>
      </w:r>
      <w:r w:rsidR="005E33B2" w:rsidRPr="00A526D6">
        <w:rPr>
          <w:rFonts w:ascii="Times New Roman" w:hAnsi="Times New Roman"/>
          <w:sz w:val="24"/>
          <w:szCs w:val="24"/>
        </w:rPr>
        <w:t xml:space="preserve"> zawiera przedmiot i sumy ubezpieczenia określone dla poszczególnych jednostek organizacyjnych i instytucji kultury Powiatu Ostrowieckiego</w:t>
      </w:r>
    </w:p>
    <w:p w:rsidR="005E33B2" w:rsidRPr="00A526D6" w:rsidRDefault="005E33B2" w:rsidP="0011349C">
      <w:pPr>
        <w:spacing w:after="0" w:line="240" w:lineRule="auto"/>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sidRPr="00A526D6">
        <w:rPr>
          <w:rFonts w:ascii="Times New Roman" w:hAnsi="Times New Roman"/>
          <w:sz w:val="24"/>
          <w:szCs w:val="24"/>
        </w:rPr>
        <w:t xml:space="preserve">Sumy ubezpieczenia zostały pomniejszone o wartość sprzętu elektronicznego ubezpieczanego od wszystkich </w:t>
      </w:r>
      <w:proofErr w:type="spellStart"/>
      <w:r w:rsidRPr="00A526D6">
        <w:rPr>
          <w:rFonts w:ascii="Times New Roman" w:hAnsi="Times New Roman"/>
          <w:sz w:val="24"/>
          <w:szCs w:val="24"/>
        </w:rPr>
        <w:t>ryzyk</w:t>
      </w:r>
      <w:proofErr w:type="spellEnd"/>
      <w:r w:rsidRPr="00A526D6">
        <w:rPr>
          <w:rFonts w:ascii="Times New Roman" w:hAnsi="Times New Roman"/>
          <w:sz w:val="24"/>
          <w:szCs w:val="24"/>
        </w:rPr>
        <w:t xml:space="preserve"> oraz wartość pojazdów ubezpieczonych w AC.</w:t>
      </w:r>
    </w:p>
    <w:p w:rsidR="005E33B2" w:rsidRPr="00A526D6" w:rsidRDefault="005E33B2" w:rsidP="0011349C">
      <w:pPr>
        <w:pStyle w:val="Akapitzlist"/>
        <w:spacing w:after="0" w:line="240" w:lineRule="auto"/>
        <w:ind w:left="0"/>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sidRPr="00A526D6">
        <w:rPr>
          <w:rFonts w:ascii="Times New Roman" w:hAnsi="Times New Roman"/>
          <w:sz w:val="24"/>
          <w:szCs w:val="24"/>
        </w:rPr>
        <w:t xml:space="preserve">W skład muzealiów jednostki kultury wchodzą m.in.: Dział Historii: monety, medale, banknoty; papiery wartościowe; tłoki </w:t>
      </w:r>
      <w:proofErr w:type="spellStart"/>
      <w:r w:rsidRPr="00A526D6">
        <w:rPr>
          <w:rFonts w:ascii="Times New Roman" w:hAnsi="Times New Roman"/>
          <w:sz w:val="24"/>
          <w:szCs w:val="24"/>
        </w:rPr>
        <w:t>pieczętne</w:t>
      </w:r>
      <w:proofErr w:type="spellEnd"/>
      <w:r w:rsidRPr="00A526D6">
        <w:rPr>
          <w:rFonts w:ascii="Times New Roman" w:hAnsi="Times New Roman"/>
          <w:sz w:val="24"/>
          <w:szCs w:val="24"/>
        </w:rPr>
        <w:t>; ordery i odznaki; broń biała i palna; prasa; ulotki; dokumenty; fotografie; karty pocztowe; sztandary; mapy i plany. Dział Sztuki: porcelana i fajans; szkło; srebra i platery; grafiki; malarstwo; linoryty; tkaniny; fotografie; exlibrisy; miedzioryty; gobeliny; meble i inne wyposażenia wnętrz. Dział Etnografii: zabytki z drewna, gliny i żelaza; tkaniny; malarstwo. Dział Archeologii: zabytki archeologiczne.</w:t>
      </w:r>
    </w:p>
    <w:p w:rsidR="005E33B2" w:rsidRDefault="005E33B2" w:rsidP="0011349C">
      <w:pPr>
        <w:pStyle w:val="Akapitzlist"/>
        <w:spacing w:after="0" w:line="240" w:lineRule="auto"/>
        <w:ind w:left="0"/>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Pr>
          <w:rFonts w:ascii="Times New Roman" w:hAnsi="Times New Roman"/>
          <w:sz w:val="24"/>
          <w:szCs w:val="24"/>
        </w:rPr>
        <w:t>Likwidacja szkód</w:t>
      </w:r>
      <w:r w:rsidRPr="00A526D6">
        <w:rPr>
          <w:rFonts w:ascii="Times New Roman" w:hAnsi="Times New Roman"/>
          <w:sz w:val="24"/>
          <w:szCs w:val="24"/>
        </w:rPr>
        <w:t xml:space="preserve"> zgodnie z treścią klauzul likwidacyjnych. </w:t>
      </w:r>
      <w:r w:rsidRPr="008D31FB">
        <w:rPr>
          <w:rFonts w:ascii="Times New Roman" w:hAnsi="Times New Roman"/>
          <w:sz w:val="24"/>
          <w:szCs w:val="24"/>
        </w:rPr>
        <w:t>Zamawiający nie ma możliwości odliczania podatku VAT, wypłacane odszkodowania obligatoryjnie muszą go zawierać.</w:t>
      </w:r>
    </w:p>
    <w:p w:rsidR="005E33B2" w:rsidRPr="00A526D6" w:rsidRDefault="005E33B2" w:rsidP="0011349C">
      <w:pPr>
        <w:pStyle w:val="Akapitzlist"/>
        <w:spacing w:after="0" w:line="240" w:lineRule="auto"/>
        <w:ind w:left="0"/>
        <w:rPr>
          <w:rFonts w:ascii="Times New Roman" w:hAnsi="Times New Roman"/>
          <w:sz w:val="24"/>
          <w:szCs w:val="24"/>
        </w:rPr>
      </w:pPr>
    </w:p>
    <w:p w:rsidR="005E33B2" w:rsidRDefault="005E33B2" w:rsidP="0011349C">
      <w:pPr>
        <w:spacing w:after="0" w:line="360" w:lineRule="auto"/>
        <w:rPr>
          <w:rFonts w:ascii="Times New Roman" w:hAnsi="Times New Roman"/>
          <w:sz w:val="24"/>
          <w:szCs w:val="24"/>
        </w:rPr>
      </w:pPr>
    </w:p>
    <w:p w:rsidR="005E33B2" w:rsidRPr="00F717FD" w:rsidRDefault="001F7E1B" w:rsidP="005047FF">
      <w:pPr>
        <w:spacing w:after="0" w:line="360" w:lineRule="auto"/>
        <w:rPr>
          <w:rFonts w:ascii="Times New Roman" w:hAnsi="Times New Roman"/>
          <w:b/>
          <w:sz w:val="28"/>
          <w:szCs w:val="28"/>
        </w:rPr>
      </w:pPr>
      <w:r w:rsidRPr="00F717FD">
        <w:rPr>
          <w:rFonts w:ascii="Times New Roman" w:hAnsi="Times New Roman"/>
          <w:b/>
          <w:sz w:val="28"/>
          <w:szCs w:val="28"/>
          <w:u w:val="single"/>
        </w:rPr>
        <w:t>Zadanie</w:t>
      </w:r>
      <w:r w:rsidR="00CA1095" w:rsidRPr="00F717FD">
        <w:rPr>
          <w:rFonts w:ascii="Times New Roman" w:hAnsi="Times New Roman"/>
          <w:b/>
          <w:sz w:val="28"/>
          <w:szCs w:val="28"/>
          <w:u w:val="single"/>
        </w:rPr>
        <w:t xml:space="preserve"> I b):</w:t>
      </w:r>
      <w:r w:rsidRPr="00F717FD">
        <w:rPr>
          <w:rFonts w:ascii="Times New Roman" w:hAnsi="Times New Roman"/>
          <w:b/>
          <w:sz w:val="28"/>
          <w:szCs w:val="28"/>
          <w:u w:val="single"/>
        </w:rPr>
        <w:t xml:space="preserve"> </w:t>
      </w:r>
      <w:r w:rsidR="005E33B2" w:rsidRPr="00F717FD">
        <w:rPr>
          <w:rFonts w:ascii="Times New Roman" w:hAnsi="Times New Roman"/>
          <w:b/>
          <w:sz w:val="28"/>
          <w:szCs w:val="28"/>
          <w:u w:val="single"/>
        </w:rPr>
        <w:t xml:space="preserve">Ubezpieczenie sprzętu elektronicznego od wszystkich </w:t>
      </w:r>
      <w:proofErr w:type="spellStart"/>
      <w:r w:rsidR="005E33B2" w:rsidRPr="00F717FD">
        <w:rPr>
          <w:rFonts w:ascii="Times New Roman" w:hAnsi="Times New Roman"/>
          <w:b/>
          <w:sz w:val="28"/>
          <w:szCs w:val="28"/>
          <w:u w:val="single"/>
        </w:rPr>
        <w:t>ryzyk</w:t>
      </w:r>
      <w:proofErr w:type="spellEnd"/>
      <w:r w:rsidR="005E33B2" w:rsidRPr="00F717FD">
        <w:rPr>
          <w:rFonts w:ascii="Times New Roman" w:hAnsi="Times New Roman"/>
          <w:b/>
          <w:sz w:val="28"/>
          <w:szCs w:val="28"/>
        </w:rPr>
        <w:t>.</w:t>
      </w:r>
    </w:p>
    <w:p w:rsidR="005E33B2" w:rsidRPr="005047FF" w:rsidRDefault="005047FF" w:rsidP="005047FF">
      <w:pPr>
        <w:spacing w:after="0" w:line="360" w:lineRule="auto"/>
        <w:ind w:left="360"/>
        <w:rPr>
          <w:rFonts w:ascii="Times New Roman" w:hAnsi="Times New Roman"/>
          <w:sz w:val="24"/>
          <w:szCs w:val="24"/>
        </w:rPr>
      </w:pPr>
      <w:r>
        <w:rPr>
          <w:rFonts w:ascii="Times New Roman" w:hAnsi="Times New Roman"/>
          <w:sz w:val="24"/>
          <w:szCs w:val="24"/>
        </w:rPr>
        <w:t xml:space="preserve">1. </w:t>
      </w:r>
      <w:r w:rsidR="005E33B2" w:rsidRPr="005047FF">
        <w:rPr>
          <w:rFonts w:ascii="Times New Roman" w:hAnsi="Times New Roman"/>
          <w:sz w:val="24"/>
          <w:szCs w:val="24"/>
        </w:rPr>
        <w:t>Przedmiot ubezpieczenia</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3"/>
        <w:gridCol w:w="1276"/>
        <w:gridCol w:w="2552"/>
        <w:gridCol w:w="3538"/>
      </w:tblGrid>
      <w:tr w:rsidR="005E33B2" w:rsidRPr="00715661" w:rsidTr="00BD24C9">
        <w:tc>
          <w:tcPr>
            <w:tcW w:w="1535" w:type="dxa"/>
            <w:vMerge w:val="restart"/>
          </w:tcPr>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sz w:val="24"/>
                <w:szCs w:val="24"/>
              </w:rPr>
            </w:pPr>
            <w:r w:rsidRPr="00715661">
              <w:rPr>
                <w:rFonts w:ascii="Times New Roman" w:hAnsi="Times New Roman"/>
                <w:b/>
                <w:bCs/>
                <w:sz w:val="24"/>
                <w:szCs w:val="24"/>
              </w:rPr>
              <w:t>Przedmiot</w:t>
            </w:r>
          </w:p>
          <w:p w:rsidR="00597BEF" w:rsidRDefault="005E33B2" w:rsidP="0011349C">
            <w:pPr>
              <w:spacing w:after="160" w:line="240" w:lineRule="auto"/>
              <w:jc w:val="center"/>
              <w:rPr>
                <w:rFonts w:ascii="Times New Roman" w:hAnsi="Times New Roman"/>
                <w:sz w:val="24"/>
                <w:szCs w:val="24"/>
              </w:rPr>
            </w:pPr>
            <w:r w:rsidRPr="00715661">
              <w:rPr>
                <w:rFonts w:ascii="Times New Roman" w:hAnsi="Times New Roman"/>
                <w:b/>
                <w:bCs/>
                <w:sz w:val="24"/>
                <w:szCs w:val="24"/>
              </w:rPr>
              <w:t>ubezpieczenia</w:t>
            </w:r>
          </w:p>
          <w:p w:rsidR="00597BEF" w:rsidRDefault="00597BEF" w:rsidP="00597BEF">
            <w:pPr>
              <w:rPr>
                <w:rFonts w:ascii="Times New Roman" w:hAnsi="Times New Roman"/>
                <w:sz w:val="24"/>
                <w:szCs w:val="24"/>
              </w:rPr>
            </w:pPr>
          </w:p>
          <w:p w:rsidR="005E33B2" w:rsidRPr="00597BEF" w:rsidRDefault="005E33B2" w:rsidP="00597BEF">
            <w:pPr>
              <w:jc w:val="center"/>
              <w:rPr>
                <w:rFonts w:ascii="Times New Roman" w:hAnsi="Times New Roman"/>
                <w:sz w:val="24"/>
                <w:szCs w:val="24"/>
              </w:rPr>
            </w:pPr>
          </w:p>
        </w:tc>
        <w:tc>
          <w:tcPr>
            <w:tcW w:w="3828" w:type="dxa"/>
            <w:gridSpan w:val="2"/>
          </w:tcPr>
          <w:p w:rsidR="005E33B2" w:rsidRPr="00715661" w:rsidRDefault="005E33B2" w:rsidP="0011349C">
            <w:pPr>
              <w:widowControl w:val="0"/>
              <w:spacing w:after="160" w:line="240" w:lineRule="auto"/>
              <w:jc w:val="center"/>
              <w:rPr>
                <w:rFonts w:ascii="Arial" w:hAnsi="Arial" w:cs="Arial"/>
                <w:color w:val="000000"/>
                <w:sz w:val="17"/>
                <w:szCs w:val="17"/>
                <w:lang w:eastAsia="pl-PL"/>
              </w:rPr>
            </w:pPr>
            <w:r w:rsidRPr="00715661">
              <w:rPr>
                <w:rFonts w:ascii="Arial" w:hAnsi="Arial" w:cs="Arial"/>
                <w:b/>
                <w:bCs/>
                <w:color w:val="000000"/>
                <w:sz w:val="19"/>
                <w:szCs w:val="19"/>
                <w:lang w:eastAsia="pl-PL"/>
              </w:rPr>
              <w:t>Rodzaj mienia</w:t>
            </w:r>
          </w:p>
          <w:p w:rsidR="005E33B2" w:rsidRPr="00715661" w:rsidRDefault="005E33B2" w:rsidP="0011349C">
            <w:pPr>
              <w:spacing w:after="160" w:line="240" w:lineRule="auto"/>
              <w:jc w:val="center"/>
              <w:rPr>
                <w:rFonts w:ascii="Times New Roman" w:hAnsi="Times New Roman"/>
                <w:sz w:val="24"/>
                <w:szCs w:val="24"/>
              </w:rPr>
            </w:pPr>
            <w:r w:rsidRPr="00715661">
              <w:rPr>
                <w:rFonts w:ascii="Arial" w:hAnsi="Arial" w:cs="Arial"/>
                <w:b/>
                <w:bCs/>
                <w:color w:val="000000"/>
                <w:sz w:val="19"/>
                <w:szCs w:val="19"/>
                <w:lang w:eastAsia="pl-PL"/>
              </w:rPr>
              <w:t>(dla odrębnych jednostek w</w:t>
            </w:r>
            <w:r w:rsidR="00932EE1">
              <w:rPr>
                <w:rFonts w:ascii="Arial" w:hAnsi="Arial" w:cs="Arial"/>
                <w:b/>
                <w:bCs/>
                <w:color w:val="000000"/>
                <w:sz w:val="19"/>
                <w:szCs w:val="19"/>
                <w:lang w:eastAsia="pl-PL"/>
              </w:rPr>
              <w:t>g załącznika nr 11</w:t>
            </w:r>
            <w:r w:rsidRPr="00715661">
              <w:rPr>
                <w:rFonts w:ascii="Arial" w:hAnsi="Arial" w:cs="Arial"/>
                <w:b/>
                <w:bCs/>
                <w:color w:val="000000"/>
                <w:sz w:val="19"/>
                <w:szCs w:val="19"/>
                <w:lang w:eastAsia="pl-PL"/>
              </w:rPr>
              <w:t>)</w:t>
            </w:r>
          </w:p>
        </w:tc>
        <w:tc>
          <w:tcPr>
            <w:tcW w:w="3538" w:type="dxa"/>
          </w:tcPr>
          <w:p w:rsidR="005E33B2" w:rsidRPr="00715661" w:rsidRDefault="005E33B2" w:rsidP="0011349C">
            <w:pPr>
              <w:spacing w:after="160" w:line="240" w:lineRule="auto"/>
              <w:jc w:val="center"/>
              <w:rPr>
                <w:rFonts w:ascii="Arial" w:hAnsi="Arial" w:cs="Arial"/>
                <w:b/>
                <w:bCs/>
                <w:color w:val="000000"/>
                <w:sz w:val="19"/>
                <w:szCs w:val="19"/>
                <w:lang w:eastAsia="pl-PL"/>
              </w:rPr>
            </w:pPr>
            <w:r w:rsidRPr="00715661">
              <w:rPr>
                <w:rFonts w:ascii="Arial" w:hAnsi="Arial" w:cs="Arial"/>
                <w:b/>
                <w:bCs/>
                <w:color w:val="000000"/>
                <w:sz w:val="19"/>
                <w:szCs w:val="19"/>
                <w:lang w:eastAsia="pl-PL"/>
              </w:rPr>
              <w:t>Suma ubezpieczenia w PLN</w:t>
            </w:r>
          </w:p>
          <w:p w:rsidR="005E33B2" w:rsidRPr="00715661" w:rsidRDefault="005E33B2" w:rsidP="0011349C">
            <w:pPr>
              <w:spacing w:after="160" w:line="240" w:lineRule="auto"/>
              <w:jc w:val="center"/>
              <w:rPr>
                <w:rFonts w:ascii="Times New Roman" w:hAnsi="Times New Roman"/>
                <w:sz w:val="24"/>
                <w:szCs w:val="24"/>
              </w:rPr>
            </w:pPr>
            <w:r w:rsidRPr="00715661">
              <w:rPr>
                <w:rFonts w:ascii="Arial" w:hAnsi="Arial" w:cs="Arial"/>
                <w:b/>
                <w:bCs/>
                <w:color w:val="000000"/>
                <w:sz w:val="19"/>
                <w:szCs w:val="19"/>
                <w:lang w:eastAsia="pl-PL"/>
              </w:rPr>
              <w:t>(dla odrębn</w:t>
            </w:r>
            <w:r w:rsidR="00932EE1">
              <w:rPr>
                <w:rFonts w:ascii="Arial" w:hAnsi="Arial" w:cs="Arial"/>
                <w:b/>
                <w:bCs/>
                <w:color w:val="000000"/>
                <w:sz w:val="19"/>
                <w:szCs w:val="19"/>
                <w:lang w:eastAsia="pl-PL"/>
              </w:rPr>
              <w:t>ych jednostek wg załącznika nr 11</w:t>
            </w:r>
            <w:r w:rsidRPr="00715661">
              <w:rPr>
                <w:rFonts w:ascii="Arial" w:hAnsi="Arial" w:cs="Arial"/>
                <w:b/>
                <w:bCs/>
                <w:color w:val="000000"/>
                <w:sz w:val="19"/>
                <w:szCs w:val="19"/>
                <w:lang w:eastAsia="pl-PL"/>
              </w:rPr>
              <w:t>)</w:t>
            </w:r>
          </w:p>
        </w:tc>
      </w:tr>
      <w:tr w:rsidR="005E33B2" w:rsidRPr="00715661" w:rsidTr="00BD24C9">
        <w:trPr>
          <w:trHeight w:val="739"/>
        </w:trPr>
        <w:tc>
          <w:tcPr>
            <w:tcW w:w="1535" w:type="dxa"/>
            <w:vMerge/>
          </w:tcPr>
          <w:p w:rsidR="005E33B2" w:rsidRPr="00715661" w:rsidRDefault="005E33B2" w:rsidP="0011349C">
            <w:pPr>
              <w:spacing w:after="160" w:line="240" w:lineRule="auto"/>
              <w:jc w:val="center"/>
              <w:rPr>
                <w:rFonts w:ascii="Times New Roman" w:hAnsi="Times New Roman"/>
                <w:sz w:val="24"/>
                <w:szCs w:val="24"/>
              </w:rPr>
            </w:pPr>
          </w:p>
        </w:tc>
        <w:tc>
          <w:tcPr>
            <w:tcW w:w="1276" w:type="dxa"/>
          </w:tcPr>
          <w:p w:rsidR="005E33B2" w:rsidRPr="00B94A1B" w:rsidRDefault="005E33B2" w:rsidP="0011349C">
            <w:pPr>
              <w:spacing w:after="160" w:line="240" w:lineRule="auto"/>
              <w:jc w:val="center"/>
              <w:rPr>
                <w:rFonts w:ascii="Times New Roman" w:hAnsi="Times New Roman"/>
                <w:sz w:val="24"/>
                <w:szCs w:val="24"/>
              </w:rPr>
            </w:pPr>
            <w:r w:rsidRPr="00B94A1B">
              <w:rPr>
                <w:rFonts w:ascii="Times New Roman" w:hAnsi="Times New Roman"/>
                <w:sz w:val="24"/>
                <w:szCs w:val="24"/>
              </w:rPr>
              <w:t>1</w:t>
            </w:r>
          </w:p>
        </w:tc>
        <w:tc>
          <w:tcPr>
            <w:tcW w:w="2552" w:type="dxa"/>
            <w:shd w:val="clear" w:color="auto" w:fill="FFFFFF"/>
          </w:tcPr>
          <w:p w:rsidR="005E33B2" w:rsidRPr="00B94A1B" w:rsidRDefault="005E33B2" w:rsidP="0011349C">
            <w:pPr>
              <w:spacing w:after="160" w:line="240" w:lineRule="auto"/>
              <w:jc w:val="center"/>
            </w:pPr>
            <w:r w:rsidRPr="00B94A1B">
              <w:t>Sprzęt elektroniczny stacjonarny - szczegółowy</w:t>
            </w:r>
            <w:r w:rsidR="00932EE1" w:rsidRPr="00B94A1B">
              <w:t xml:space="preserve"> wykaz sprzętu w załączniku nr 11</w:t>
            </w:r>
            <w:r w:rsidRPr="00B94A1B">
              <w:t>.</w:t>
            </w:r>
          </w:p>
        </w:tc>
        <w:tc>
          <w:tcPr>
            <w:tcW w:w="3538" w:type="dxa"/>
            <w:shd w:val="clear" w:color="auto" w:fill="FFFFFF"/>
            <w:vAlign w:val="bottom"/>
          </w:tcPr>
          <w:p w:rsidR="005E33B2" w:rsidRPr="00B94A1B" w:rsidRDefault="00DF4AEE" w:rsidP="0011349C">
            <w:pPr>
              <w:spacing w:after="160" w:line="240" w:lineRule="auto"/>
              <w:jc w:val="center"/>
            </w:pPr>
            <w:r w:rsidRPr="00B94A1B">
              <w:t>2 849 489,47</w:t>
            </w:r>
          </w:p>
          <w:p w:rsidR="00597BEF" w:rsidRPr="00B94A1B" w:rsidRDefault="00597BEF" w:rsidP="0011349C">
            <w:pPr>
              <w:spacing w:after="160" w:line="240" w:lineRule="auto"/>
              <w:jc w:val="center"/>
            </w:pPr>
          </w:p>
        </w:tc>
      </w:tr>
      <w:tr w:rsidR="00597BEF" w:rsidRPr="00715661" w:rsidTr="00BD24C9">
        <w:trPr>
          <w:trHeight w:val="739"/>
        </w:trPr>
        <w:tc>
          <w:tcPr>
            <w:tcW w:w="1535" w:type="dxa"/>
            <w:vMerge/>
          </w:tcPr>
          <w:p w:rsidR="00597BEF" w:rsidRPr="00715661" w:rsidRDefault="00597BEF" w:rsidP="0011349C">
            <w:pPr>
              <w:spacing w:after="160" w:line="240" w:lineRule="auto"/>
              <w:jc w:val="center"/>
              <w:rPr>
                <w:rFonts w:ascii="Times New Roman" w:hAnsi="Times New Roman"/>
                <w:sz w:val="24"/>
                <w:szCs w:val="24"/>
              </w:rPr>
            </w:pPr>
          </w:p>
        </w:tc>
        <w:tc>
          <w:tcPr>
            <w:tcW w:w="1276" w:type="dxa"/>
          </w:tcPr>
          <w:p w:rsidR="00597BEF" w:rsidRPr="00B94A1B" w:rsidRDefault="00597BEF" w:rsidP="0011349C">
            <w:pPr>
              <w:spacing w:after="160" w:line="240" w:lineRule="auto"/>
              <w:jc w:val="center"/>
              <w:rPr>
                <w:rFonts w:ascii="Times New Roman" w:hAnsi="Times New Roman"/>
                <w:sz w:val="24"/>
                <w:szCs w:val="24"/>
              </w:rPr>
            </w:pPr>
            <w:r w:rsidRPr="00B94A1B">
              <w:rPr>
                <w:rFonts w:ascii="Times New Roman" w:hAnsi="Times New Roman"/>
                <w:sz w:val="24"/>
                <w:szCs w:val="24"/>
              </w:rPr>
              <w:t>2</w:t>
            </w:r>
          </w:p>
        </w:tc>
        <w:tc>
          <w:tcPr>
            <w:tcW w:w="2552" w:type="dxa"/>
            <w:shd w:val="clear" w:color="auto" w:fill="FFFFFF"/>
          </w:tcPr>
          <w:p w:rsidR="00597BEF" w:rsidRPr="00B94A1B" w:rsidRDefault="00597BEF" w:rsidP="0011349C">
            <w:pPr>
              <w:spacing w:after="160" w:line="240" w:lineRule="auto"/>
              <w:jc w:val="center"/>
            </w:pPr>
            <w:r w:rsidRPr="00B94A1B">
              <w:t>Sprzęt elektroniczny przenośny - szczegółowy wykaz sprzętu w załączniku nr 11.</w:t>
            </w:r>
          </w:p>
        </w:tc>
        <w:tc>
          <w:tcPr>
            <w:tcW w:w="3538" w:type="dxa"/>
            <w:shd w:val="clear" w:color="auto" w:fill="FFFFFF"/>
            <w:vAlign w:val="bottom"/>
          </w:tcPr>
          <w:p w:rsidR="00597BEF" w:rsidRPr="00B94A1B" w:rsidRDefault="00597BEF" w:rsidP="00597BEF">
            <w:pPr>
              <w:spacing w:after="160" w:line="240" w:lineRule="auto"/>
            </w:pPr>
          </w:p>
          <w:p w:rsidR="00597BEF" w:rsidRPr="00B94A1B" w:rsidRDefault="00DF4AEE" w:rsidP="00597BEF">
            <w:pPr>
              <w:spacing w:after="160" w:line="240" w:lineRule="auto"/>
              <w:jc w:val="center"/>
            </w:pPr>
            <w:r w:rsidRPr="00B94A1B">
              <w:t>730 210,54</w:t>
            </w:r>
          </w:p>
          <w:p w:rsidR="00597BEF" w:rsidRPr="00B94A1B" w:rsidRDefault="00597BEF" w:rsidP="00597BEF">
            <w:pPr>
              <w:spacing w:after="160" w:line="240" w:lineRule="auto"/>
              <w:jc w:val="center"/>
            </w:pPr>
          </w:p>
        </w:tc>
      </w:tr>
      <w:tr w:rsidR="005E33B2" w:rsidRPr="00715661" w:rsidTr="00BD24C9">
        <w:tc>
          <w:tcPr>
            <w:tcW w:w="1535" w:type="dxa"/>
            <w:vMerge/>
          </w:tcPr>
          <w:p w:rsidR="005E33B2" w:rsidRPr="00715661" w:rsidRDefault="005E33B2" w:rsidP="0011349C">
            <w:pPr>
              <w:spacing w:after="160" w:line="240" w:lineRule="auto"/>
              <w:jc w:val="center"/>
              <w:rPr>
                <w:rFonts w:ascii="Times New Roman" w:hAnsi="Times New Roman"/>
                <w:sz w:val="24"/>
                <w:szCs w:val="24"/>
              </w:rPr>
            </w:pPr>
          </w:p>
        </w:tc>
        <w:tc>
          <w:tcPr>
            <w:tcW w:w="1276" w:type="dxa"/>
          </w:tcPr>
          <w:p w:rsidR="005E33B2" w:rsidRPr="00B94A1B" w:rsidRDefault="00597BEF" w:rsidP="0011349C">
            <w:pPr>
              <w:spacing w:after="160" w:line="240" w:lineRule="auto"/>
              <w:jc w:val="center"/>
              <w:rPr>
                <w:rFonts w:ascii="Times New Roman" w:hAnsi="Times New Roman"/>
                <w:sz w:val="24"/>
                <w:szCs w:val="24"/>
              </w:rPr>
            </w:pPr>
            <w:r w:rsidRPr="00B94A1B">
              <w:rPr>
                <w:rFonts w:ascii="Times New Roman" w:hAnsi="Times New Roman"/>
                <w:sz w:val="24"/>
                <w:szCs w:val="24"/>
              </w:rPr>
              <w:t>3</w:t>
            </w:r>
          </w:p>
        </w:tc>
        <w:tc>
          <w:tcPr>
            <w:tcW w:w="2552" w:type="dxa"/>
            <w:shd w:val="clear" w:color="auto" w:fill="FFFFFF"/>
            <w:vAlign w:val="bottom"/>
          </w:tcPr>
          <w:p w:rsidR="005E33B2" w:rsidRPr="00B94A1B" w:rsidRDefault="00597BEF" w:rsidP="0011349C">
            <w:pPr>
              <w:spacing w:after="160" w:line="240" w:lineRule="auto"/>
              <w:jc w:val="center"/>
            </w:pPr>
            <w:r w:rsidRPr="00B94A1B">
              <w:t>Monitoring</w:t>
            </w:r>
          </w:p>
        </w:tc>
        <w:tc>
          <w:tcPr>
            <w:tcW w:w="3538" w:type="dxa"/>
            <w:shd w:val="clear" w:color="auto" w:fill="FFFFFF"/>
            <w:vAlign w:val="center"/>
          </w:tcPr>
          <w:p w:rsidR="005E33B2" w:rsidRPr="00B94A1B" w:rsidRDefault="00597BEF" w:rsidP="0011349C">
            <w:pPr>
              <w:spacing w:after="160" w:line="240" w:lineRule="auto"/>
              <w:jc w:val="center"/>
            </w:pPr>
            <w:r w:rsidRPr="00B94A1B">
              <w:t xml:space="preserve">122 270,83 </w:t>
            </w:r>
          </w:p>
        </w:tc>
      </w:tr>
    </w:tbl>
    <w:p w:rsidR="005E33B2" w:rsidRDefault="005E33B2" w:rsidP="0011349C">
      <w:pPr>
        <w:spacing w:after="0" w:line="360" w:lineRule="auto"/>
        <w:jc w:val="center"/>
        <w:rPr>
          <w:rFonts w:ascii="Times New Roman" w:hAnsi="Times New Roman"/>
          <w:sz w:val="24"/>
          <w:szCs w:val="24"/>
        </w:rPr>
      </w:pPr>
    </w:p>
    <w:p w:rsidR="005E33B2" w:rsidRPr="005047FF" w:rsidRDefault="005047FF" w:rsidP="005047FF">
      <w:pPr>
        <w:spacing w:after="0" w:line="360" w:lineRule="auto"/>
        <w:jc w:val="both"/>
        <w:rPr>
          <w:rFonts w:ascii="Times New Roman" w:hAnsi="Times New Roman"/>
          <w:sz w:val="24"/>
          <w:szCs w:val="24"/>
        </w:rPr>
      </w:pPr>
      <w:r>
        <w:rPr>
          <w:rFonts w:ascii="Times New Roman" w:hAnsi="Times New Roman"/>
          <w:sz w:val="24"/>
          <w:szCs w:val="24"/>
        </w:rPr>
        <w:t>2.</w:t>
      </w:r>
      <w:r w:rsidR="005E33B2" w:rsidRPr="005047FF">
        <w:rPr>
          <w:rFonts w:ascii="Times New Roman" w:hAnsi="Times New Roman"/>
          <w:sz w:val="24"/>
          <w:szCs w:val="24"/>
        </w:rPr>
        <w:t xml:space="preserve"> Określenie rodzaju wartości: wartość początkowa (księgowa brutto)</w:t>
      </w:r>
    </w:p>
    <w:p w:rsidR="005E33B2" w:rsidRPr="005047FF" w:rsidRDefault="005047FF" w:rsidP="005047FF">
      <w:pPr>
        <w:spacing w:after="0" w:line="360" w:lineRule="auto"/>
        <w:jc w:val="both"/>
        <w:rPr>
          <w:rFonts w:ascii="Times New Roman" w:hAnsi="Times New Roman"/>
          <w:sz w:val="24"/>
          <w:szCs w:val="24"/>
        </w:rPr>
      </w:pPr>
      <w:r>
        <w:rPr>
          <w:rFonts w:ascii="Times New Roman" w:hAnsi="Times New Roman"/>
          <w:sz w:val="24"/>
          <w:szCs w:val="24"/>
        </w:rPr>
        <w:t xml:space="preserve">3. </w:t>
      </w:r>
      <w:r w:rsidR="005E33B2" w:rsidRPr="005047FF">
        <w:rPr>
          <w:rFonts w:ascii="Times New Roman" w:hAnsi="Times New Roman"/>
          <w:sz w:val="24"/>
          <w:szCs w:val="24"/>
        </w:rPr>
        <w:t>Ubezpieczenie wg. systemu sum stałych</w:t>
      </w: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4. </w:t>
      </w:r>
      <w:r w:rsidR="005E33B2" w:rsidRPr="005047FF">
        <w:rPr>
          <w:rFonts w:ascii="Times New Roman" w:hAnsi="Times New Roman"/>
          <w:sz w:val="24"/>
          <w:szCs w:val="24"/>
        </w:rPr>
        <w:t xml:space="preserve"> Ubezpieczenie od wszystkich </w:t>
      </w:r>
      <w:proofErr w:type="spellStart"/>
      <w:r w:rsidR="005E33B2" w:rsidRPr="005047FF">
        <w:rPr>
          <w:rFonts w:ascii="Times New Roman" w:hAnsi="Times New Roman"/>
          <w:sz w:val="24"/>
          <w:szCs w:val="24"/>
        </w:rPr>
        <w:t>ryzyk</w:t>
      </w:r>
      <w:proofErr w:type="spellEnd"/>
      <w:r w:rsidR="005E33B2" w:rsidRPr="005047FF">
        <w:rPr>
          <w:rFonts w:ascii="Times New Roman" w:hAnsi="Times New Roman"/>
          <w:sz w:val="24"/>
          <w:szCs w:val="24"/>
        </w:rPr>
        <w:t xml:space="preserve"> z rozszerzeniem o użytkowanie niestacjonarne w tym m.in.:</w:t>
      </w:r>
    </w:p>
    <w:p w:rsidR="005E33B2" w:rsidRPr="00227CF4" w:rsidRDefault="005E33B2" w:rsidP="00374058">
      <w:pPr>
        <w:pStyle w:val="Akapitzlist"/>
        <w:spacing w:after="0" w:line="240" w:lineRule="auto"/>
        <w:ind w:left="0"/>
        <w:jc w:val="both"/>
        <w:rPr>
          <w:rFonts w:ascii="Times New Roman" w:hAnsi="Times New Roman"/>
          <w:sz w:val="24"/>
          <w:szCs w:val="24"/>
        </w:rPr>
      </w:pPr>
      <w:r>
        <w:rPr>
          <w:rFonts w:ascii="Times New Roman" w:hAnsi="Times New Roman"/>
          <w:sz w:val="24"/>
          <w:szCs w:val="24"/>
        </w:rPr>
        <w:t>-</w:t>
      </w:r>
      <w:r w:rsidR="005047FF">
        <w:rPr>
          <w:rFonts w:ascii="Times New Roman" w:hAnsi="Times New Roman"/>
          <w:sz w:val="24"/>
          <w:szCs w:val="24"/>
        </w:rPr>
        <w:t xml:space="preserve"> </w:t>
      </w:r>
      <w:r>
        <w:rPr>
          <w:rFonts w:ascii="Times New Roman" w:hAnsi="Times New Roman"/>
          <w:sz w:val="24"/>
          <w:szCs w:val="24"/>
        </w:rPr>
        <w:t>utrata lub uszkodzenie</w:t>
      </w:r>
      <w:r w:rsidRPr="00227CF4">
        <w:rPr>
          <w:rFonts w:ascii="Times New Roman" w:hAnsi="Times New Roman"/>
          <w:sz w:val="24"/>
          <w:szCs w:val="24"/>
        </w:rPr>
        <w:t xml:space="preserve"> ubezpiecz</w:t>
      </w:r>
      <w:r>
        <w:rPr>
          <w:rFonts w:ascii="Times New Roman" w:hAnsi="Times New Roman"/>
          <w:sz w:val="24"/>
          <w:szCs w:val="24"/>
        </w:rPr>
        <w:t>onego sprzętu nastąpiły w wyniku</w:t>
      </w:r>
      <w:r w:rsidRPr="00227CF4">
        <w:rPr>
          <w:rFonts w:ascii="Times New Roman" w:hAnsi="Times New Roman"/>
          <w:sz w:val="24"/>
          <w:szCs w:val="24"/>
        </w:rPr>
        <w:t xml:space="preserve"> jego znis</w:t>
      </w:r>
      <w:r>
        <w:rPr>
          <w:rFonts w:ascii="Times New Roman" w:hAnsi="Times New Roman"/>
          <w:sz w:val="24"/>
          <w:szCs w:val="24"/>
        </w:rPr>
        <w:t>zczenia lub uszkodzenia spowodowanego</w:t>
      </w:r>
      <w:r w:rsidRPr="00227CF4">
        <w:rPr>
          <w:rFonts w:ascii="Times New Roman" w:hAnsi="Times New Roman"/>
          <w:sz w:val="24"/>
          <w:szCs w:val="24"/>
        </w:rPr>
        <w:t xml:space="preserve"> nieprz</w:t>
      </w:r>
      <w:r>
        <w:rPr>
          <w:rFonts w:ascii="Times New Roman" w:hAnsi="Times New Roman"/>
          <w:sz w:val="24"/>
          <w:szCs w:val="24"/>
        </w:rPr>
        <w:t>ewidzianym wypadkiem powodującym brak możliwości dalszego funkcjonowania w sposób prawidłowy.</w:t>
      </w:r>
    </w:p>
    <w:p w:rsidR="005E33B2" w:rsidRDefault="005047FF" w:rsidP="00374058">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5E33B2">
        <w:rPr>
          <w:rFonts w:ascii="Times New Roman" w:hAnsi="Times New Roman"/>
          <w:sz w:val="24"/>
          <w:szCs w:val="24"/>
        </w:rPr>
        <w:t>utrata lub uszkodzenie ubezpieczonego sprzętu nastąpiły</w:t>
      </w:r>
      <w:r w:rsidR="005E33B2" w:rsidRPr="00227CF4">
        <w:rPr>
          <w:rFonts w:ascii="Times New Roman" w:hAnsi="Times New Roman"/>
          <w:sz w:val="24"/>
          <w:szCs w:val="24"/>
        </w:rPr>
        <w:t xml:space="preserve"> wskutek kradzieży z włamaniem, rabunku, dewastacji i wandalizmu.</w:t>
      </w:r>
    </w:p>
    <w:p w:rsidR="005E33B2" w:rsidRPr="00227CF4" w:rsidRDefault="005E33B2" w:rsidP="00374058">
      <w:pPr>
        <w:pStyle w:val="Akapitzlist"/>
        <w:spacing w:after="0" w:line="240" w:lineRule="auto"/>
        <w:ind w:left="0"/>
        <w:jc w:val="both"/>
        <w:rPr>
          <w:rFonts w:ascii="Times New Roman" w:hAnsi="Times New Roman"/>
          <w:sz w:val="24"/>
          <w:szCs w:val="24"/>
        </w:rPr>
      </w:pP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5. </w:t>
      </w:r>
      <w:r w:rsidR="005E33B2" w:rsidRPr="005047FF">
        <w:rPr>
          <w:rFonts w:ascii="Times New Roman" w:hAnsi="Times New Roman"/>
          <w:sz w:val="24"/>
          <w:szCs w:val="24"/>
        </w:rPr>
        <w:t>Do szkód objętych ubezpieczeniem zalicza się m.in. szkody wynikłe w następstwie:</w:t>
      </w:r>
    </w:p>
    <w:p w:rsidR="005E33B2" w:rsidRDefault="005E33B2" w:rsidP="00374058">
      <w:pPr>
        <w:spacing w:after="0" w:line="240" w:lineRule="auto"/>
        <w:jc w:val="both"/>
        <w:rPr>
          <w:rFonts w:ascii="Times New Roman" w:hAnsi="Times New Roman"/>
          <w:sz w:val="24"/>
          <w:szCs w:val="24"/>
        </w:rPr>
      </w:pPr>
    </w:p>
    <w:p w:rsidR="005E33B2" w:rsidRPr="005047FF" w:rsidRDefault="00E942C1" w:rsidP="005047FF">
      <w:pPr>
        <w:spacing w:after="0" w:line="240" w:lineRule="auto"/>
        <w:ind w:left="360" w:hanging="360"/>
        <w:jc w:val="both"/>
        <w:rPr>
          <w:rFonts w:ascii="Times New Roman" w:hAnsi="Times New Roman"/>
          <w:sz w:val="24"/>
          <w:szCs w:val="24"/>
        </w:rPr>
      </w:pPr>
      <w:r>
        <w:rPr>
          <w:rFonts w:ascii="Times New Roman" w:hAnsi="Times New Roman"/>
          <w:sz w:val="24"/>
          <w:szCs w:val="24"/>
        </w:rPr>
        <w:t>5.</w:t>
      </w:r>
      <w:r w:rsidR="005047FF">
        <w:rPr>
          <w:rFonts w:ascii="Times New Roman" w:hAnsi="Times New Roman"/>
          <w:sz w:val="24"/>
          <w:szCs w:val="24"/>
        </w:rPr>
        <w:t xml:space="preserve">1. </w:t>
      </w:r>
      <w:r w:rsidR="005E33B2" w:rsidRPr="005047FF">
        <w:rPr>
          <w:rFonts w:ascii="Times New Roman" w:hAnsi="Times New Roman"/>
          <w:sz w:val="24"/>
          <w:szCs w:val="24"/>
        </w:rPr>
        <w:t>Kradzieży z włamaniem, rabunku, wandalizmu i dewastacji, również wskutek kradzieży z pojazdu lub kradzieży całego pojazdu ze sprzętem elektronicznym</w:t>
      </w:r>
    </w:p>
    <w:p w:rsidR="005E33B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lastRenderedPageBreak/>
        <w:t>5.</w:t>
      </w:r>
      <w:r w:rsidR="005047FF">
        <w:rPr>
          <w:rFonts w:ascii="Times New Roman" w:hAnsi="Times New Roman"/>
          <w:sz w:val="24"/>
          <w:szCs w:val="24"/>
        </w:rPr>
        <w:t>2.</w:t>
      </w:r>
      <w:r w:rsidR="00874B72">
        <w:rPr>
          <w:rFonts w:ascii="Times New Roman" w:hAnsi="Times New Roman"/>
          <w:sz w:val="24"/>
          <w:szCs w:val="24"/>
        </w:rPr>
        <w:t xml:space="preserve"> </w:t>
      </w:r>
      <w:r w:rsidR="005E33B2">
        <w:rPr>
          <w:rFonts w:ascii="Times New Roman" w:hAnsi="Times New Roman"/>
          <w:sz w:val="24"/>
          <w:szCs w:val="24"/>
        </w:rPr>
        <w:t>N</w:t>
      </w:r>
      <w:r w:rsidR="005E33B2" w:rsidRPr="00A51B82">
        <w:rPr>
          <w:rFonts w:ascii="Times New Roman" w:hAnsi="Times New Roman"/>
          <w:sz w:val="24"/>
          <w:szCs w:val="24"/>
        </w:rPr>
        <w:t>iewłaściwej obsługi sprzętu, w tym m.in.: niewłaściwego użytkowania, zaniedbania, nieostrożności, błędu użytkownika, braku wymaganych kwalifikacji zawodowych, itp., a także w następstwie świadomego i celowego uszkodzenia przez pracowników i współpracowników ubezpieczającego oraz osoby trzecie</w:t>
      </w:r>
      <w:r w:rsidR="005E33B2">
        <w:rPr>
          <w:rFonts w:ascii="Times New Roman" w:hAnsi="Times New Roman"/>
          <w:sz w:val="24"/>
          <w:szCs w:val="24"/>
        </w:rPr>
        <w:t>.</w:t>
      </w:r>
    </w:p>
    <w:p w:rsidR="005E33B2"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3. </w:t>
      </w:r>
      <w:r w:rsidR="005E33B2">
        <w:rPr>
          <w:rFonts w:ascii="Times New Roman" w:hAnsi="Times New Roman"/>
          <w:sz w:val="24"/>
          <w:szCs w:val="24"/>
        </w:rPr>
        <w:t>Upad</w:t>
      </w:r>
      <w:r w:rsidR="005E33B2" w:rsidRPr="00C23D86">
        <w:rPr>
          <w:rFonts w:ascii="Times New Roman" w:hAnsi="Times New Roman"/>
          <w:sz w:val="24"/>
          <w:szCs w:val="24"/>
        </w:rPr>
        <w:t>k</w:t>
      </w:r>
      <w:r w:rsidR="005E33B2">
        <w:rPr>
          <w:rFonts w:ascii="Times New Roman" w:hAnsi="Times New Roman"/>
          <w:sz w:val="24"/>
          <w:szCs w:val="24"/>
        </w:rPr>
        <w:t>u sprzętu elektronicznego</w:t>
      </w:r>
    </w:p>
    <w:p w:rsidR="005E33B2" w:rsidRPr="00750145"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4. </w:t>
      </w:r>
      <w:r w:rsidR="005E33B2" w:rsidRPr="00750145">
        <w:rPr>
          <w:rFonts w:ascii="Times New Roman" w:hAnsi="Times New Roman"/>
          <w:sz w:val="24"/>
          <w:szCs w:val="24"/>
        </w:rPr>
        <w:t>Wad produkcyjnych i technologicznych takich jak błędy konstrukcyjne, wykonanie z  wadliwych materiałów</w:t>
      </w:r>
      <w:r w:rsidR="00874B72">
        <w:rPr>
          <w:rFonts w:ascii="Times New Roman" w:hAnsi="Times New Roman"/>
          <w:sz w:val="24"/>
          <w:szCs w:val="24"/>
        </w:rPr>
        <w:t>.</w:t>
      </w:r>
    </w:p>
    <w:p w:rsidR="00874B7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5. </w:t>
      </w:r>
      <w:r w:rsidR="005E33B2" w:rsidRPr="00750145">
        <w:rPr>
          <w:rFonts w:ascii="Times New Roman" w:hAnsi="Times New Roman"/>
          <w:sz w:val="24"/>
          <w:szCs w:val="24"/>
        </w:rPr>
        <w:t>Różnic w napięciu  lub jego zaniku w sieci instalacji elektrycznej, szkód przepięciowych i innych szkód w elektronice wynikłych w</w:t>
      </w:r>
      <w:r w:rsidR="00874B72">
        <w:rPr>
          <w:rFonts w:ascii="Times New Roman" w:hAnsi="Times New Roman"/>
          <w:sz w:val="24"/>
          <w:szCs w:val="24"/>
        </w:rPr>
        <w:t xml:space="preserve"> następstwie uderzenia pioruna. </w:t>
      </w:r>
    </w:p>
    <w:p w:rsidR="005E33B2" w:rsidRPr="00750145"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6. </w:t>
      </w:r>
      <w:r w:rsidR="005E33B2" w:rsidRPr="00750145">
        <w:rPr>
          <w:rFonts w:ascii="Times New Roman" w:hAnsi="Times New Roman"/>
          <w:sz w:val="24"/>
          <w:szCs w:val="24"/>
        </w:rPr>
        <w:t>Przerwy w dostarczaniu mediów takich jak dostawa wody, prądu czy gazu.</w:t>
      </w:r>
    </w:p>
    <w:p w:rsidR="00874B7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7. </w:t>
      </w:r>
      <w:r w:rsidR="005E33B2">
        <w:rPr>
          <w:rFonts w:ascii="Times New Roman" w:hAnsi="Times New Roman"/>
          <w:sz w:val="24"/>
          <w:szCs w:val="24"/>
        </w:rPr>
        <w:t xml:space="preserve">Ognia, dymu i </w:t>
      </w:r>
      <w:r w:rsidR="005E33B2" w:rsidRPr="00C23D86">
        <w:rPr>
          <w:rFonts w:ascii="Times New Roman" w:hAnsi="Times New Roman"/>
          <w:sz w:val="24"/>
          <w:szCs w:val="24"/>
        </w:rPr>
        <w:t>sadzy oraz</w:t>
      </w:r>
      <w:r w:rsidR="005E33B2">
        <w:rPr>
          <w:rFonts w:ascii="Times New Roman" w:hAnsi="Times New Roman"/>
          <w:sz w:val="24"/>
          <w:szCs w:val="24"/>
        </w:rPr>
        <w:t xml:space="preserve"> szkód w następstwie</w:t>
      </w:r>
      <w:r w:rsidR="005E33B2" w:rsidRPr="00C23D86">
        <w:rPr>
          <w:rFonts w:ascii="Times New Roman" w:hAnsi="Times New Roman"/>
          <w:sz w:val="24"/>
          <w:szCs w:val="24"/>
        </w:rPr>
        <w:t xml:space="preserve"> </w:t>
      </w:r>
      <w:r w:rsidR="005E33B2">
        <w:rPr>
          <w:rFonts w:ascii="Times New Roman" w:hAnsi="Times New Roman"/>
          <w:sz w:val="24"/>
          <w:szCs w:val="24"/>
        </w:rPr>
        <w:t xml:space="preserve">osmalenia, przypalenia, </w:t>
      </w:r>
      <w:r w:rsidR="005E33B2" w:rsidRPr="00C23D86">
        <w:rPr>
          <w:rFonts w:ascii="Times New Roman" w:hAnsi="Times New Roman"/>
          <w:sz w:val="24"/>
          <w:szCs w:val="24"/>
        </w:rPr>
        <w:t>eksplozji, implozji</w:t>
      </w:r>
      <w:r w:rsidR="005E33B2">
        <w:rPr>
          <w:rFonts w:ascii="Times New Roman" w:hAnsi="Times New Roman"/>
          <w:sz w:val="24"/>
          <w:szCs w:val="24"/>
        </w:rPr>
        <w:t>, bezpośredniego i pośredniego uderzenia pioruna, upadku pojazdu powietrznego</w:t>
      </w:r>
      <w:r w:rsidR="00874B72">
        <w:rPr>
          <w:rFonts w:ascii="Times New Roman" w:hAnsi="Times New Roman"/>
          <w:sz w:val="24"/>
          <w:szCs w:val="24"/>
        </w:rPr>
        <w:t>.</w:t>
      </w:r>
    </w:p>
    <w:p w:rsidR="005E33B2"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8. </w:t>
      </w:r>
      <w:r w:rsidR="005E33B2" w:rsidRPr="00750145">
        <w:rPr>
          <w:rFonts w:ascii="Times New Roman" w:hAnsi="Times New Roman"/>
          <w:sz w:val="24"/>
          <w:szCs w:val="24"/>
        </w:rPr>
        <w:t xml:space="preserve"> Działania czynników atmosferycznych tj. deszczu, </w:t>
      </w:r>
      <w:r w:rsidR="005E33B2" w:rsidRPr="00C23D86">
        <w:rPr>
          <w:rFonts w:ascii="Times New Roman" w:hAnsi="Times New Roman"/>
          <w:sz w:val="24"/>
          <w:szCs w:val="24"/>
        </w:rPr>
        <w:t>gradu</w:t>
      </w:r>
      <w:r w:rsidR="005E33B2">
        <w:rPr>
          <w:rFonts w:ascii="Times New Roman" w:hAnsi="Times New Roman"/>
          <w:sz w:val="24"/>
          <w:szCs w:val="24"/>
        </w:rPr>
        <w:t>,</w:t>
      </w:r>
      <w:r w:rsidR="005E33B2" w:rsidRPr="00750145">
        <w:rPr>
          <w:rFonts w:ascii="Times New Roman" w:hAnsi="Times New Roman"/>
          <w:sz w:val="24"/>
          <w:szCs w:val="24"/>
        </w:rPr>
        <w:t xml:space="preserve"> śniegu, mrozu, szadzi, wilgoci, </w:t>
      </w:r>
      <w:r w:rsidR="005E33B2" w:rsidRPr="00C23D86">
        <w:rPr>
          <w:rFonts w:ascii="Times New Roman" w:hAnsi="Times New Roman"/>
          <w:sz w:val="24"/>
          <w:szCs w:val="24"/>
        </w:rPr>
        <w:t xml:space="preserve">wiatru, </w:t>
      </w:r>
      <w:r w:rsidR="005E33B2" w:rsidRPr="00750145">
        <w:rPr>
          <w:rFonts w:ascii="Times New Roman" w:hAnsi="Times New Roman"/>
          <w:sz w:val="24"/>
          <w:szCs w:val="24"/>
        </w:rPr>
        <w:t>pary wodnej itp.</w:t>
      </w:r>
    </w:p>
    <w:p w:rsidR="005E33B2" w:rsidRPr="00750145"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9. </w:t>
      </w:r>
      <w:r w:rsidR="005E33B2">
        <w:rPr>
          <w:rFonts w:ascii="Times New Roman" w:hAnsi="Times New Roman"/>
          <w:sz w:val="24"/>
          <w:szCs w:val="24"/>
        </w:rPr>
        <w:t xml:space="preserve">Wystąpienia </w:t>
      </w:r>
      <w:r w:rsidR="005E33B2" w:rsidRPr="00C23D86">
        <w:rPr>
          <w:rFonts w:ascii="Times New Roman" w:hAnsi="Times New Roman"/>
          <w:sz w:val="24"/>
          <w:szCs w:val="24"/>
        </w:rPr>
        <w:t>po</w:t>
      </w:r>
      <w:r w:rsidR="005E33B2">
        <w:rPr>
          <w:rFonts w:ascii="Times New Roman" w:hAnsi="Times New Roman"/>
          <w:sz w:val="24"/>
          <w:szCs w:val="24"/>
        </w:rPr>
        <w:t xml:space="preserve">wodzi, wylewu wód podziemnych, zalania wodą z sieci </w:t>
      </w:r>
      <w:proofErr w:type="spellStart"/>
      <w:r w:rsidR="005E33B2">
        <w:rPr>
          <w:rFonts w:ascii="Times New Roman" w:hAnsi="Times New Roman"/>
          <w:sz w:val="24"/>
          <w:szCs w:val="24"/>
        </w:rPr>
        <w:t>wodno</w:t>
      </w:r>
      <w:proofErr w:type="spellEnd"/>
      <w:r w:rsidR="005E33B2">
        <w:rPr>
          <w:rFonts w:ascii="Times New Roman" w:hAnsi="Times New Roman"/>
          <w:sz w:val="24"/>
          <w:szCs w:val="24"/>
        </w:rPr>
        <w:t xml:space="preserve"> - kanalizacyjnej</w:t>
      </w:r>
    </w:p>
    <w:p w:rsidR="005E33B2" w:rsidRPr="006A38D7"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10. L</w:t>
      </w:r>
      <w:r w:rsidR="005E33B2" w:rsidRPr="00C23D86">
        <w:rPr>
          <w:rFonts w:ascii="Times New Roman" w:hAnsi="Times New Roman"/>
          <w:sz w:val="24"/>
          <w:szCs w:val="24"/>
        </w:rPr>
        <w:t>awiny, zapadania</w:t>
      </w:r>
      <w:r w:rsidR="005E33B2">
        <w:rPr>
          <w:rFonts w:ascii="Times New Roman" w:hAnsi="Times New Roman"/>
          <w:sz w:val="24"/>
          <w:szCs w:val="24"/>
        </w:rPr>
        <w:t xml:space="preserve"> i obsuwania</w:t>
      </w:r>
      <w:r w:rsidR="005E33B2" w:rsidRPr="00C23D86">
        <w:rPr>
          <w:rFonts w:ascii="Times New Roman" w:hAnsi="Times New Roman"/>
          <w:sz w:val="24"/>
          <w:szCs w:val="24"/>
        </w:rPr>
        <w:t xml:space="preserve"> się ziemi,</w:t>
      </w:r>
    </w:p>
    <w:p w:rsidR="005E33B2" w:rsidRPr="00932EE1"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11. W</w:t>
      </w:r>
      <w:r w:rsidR="005E33B2">
        <w:rPr>
          <w:rFonts w:ascii="Times New Roman" w:hAnsi="Times New Roman"/>
          <w:sz w:val="24"/>
          <w:szCs w:val="24"/>
        </w:rPr>
        <w:t xml:space="preserve">ystąpienia </w:t>
      </w:r>
      <w:r w:rsidR="005E33B2" w:rsidRPr="00C23D86">
        <w:rPr>
          <w:rFonts w:ascii="Times New Roman" w:hAnsi="Times New Roman"/>
          <w:sz w:val="24"/>
          <w:szCs w:val="24"/>
        </w:rPr>
        <w:t>huraganu,</w:t>
      </w:r>
      <w:r w:rsidR="005E33B2">
        <w:rPr>
          <w:rFonts w:ascii="Times New Roman" w:hAnsi="Times New Roman"/>
          <w:sz w:val="24"/>
          <w:szCs w:val="24"/>
        </w:rPr>
        <w:t xml:space="preserve"> trzęsienia ziemi.</w:t>
      </w:r>
    </w:p>
    <w:p w:rsidR="00E942C1" w:rsidRDefault="00E942C1" w:rsidP="005047FF">
      <w:pPr>
        <w:spacing w:after="0" w:line="240" w:lineRule="auto"/>
        <w:jc w:val="both"/>
        <w:rPr>
          <w:rFonts w:ascii="Times New Roman" w:hAnsi="Times New Roman"/>
          <w:sz w:val="24"/>
          <w:szCs w:val="24"/>
        </w:rPr>
      </w:pP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6. </w:t>
      </w:r>
      <w:r w:rsidR="005E33B2" w:rsidRPr="005047FF">
        <w:rPr>
          <w:rFonts w:ascii="Times New Roman" w:hAnsi="Times New Roman"/>
          <w:sz w:val="24"/>
          <w:szCs w:val="24"/>
        </w:rPr>
        <w:t>Informacje dodatkowe</w:t>
      </w:r>
    </w:p>
    <w:p w:rsidR="005E33B2" w:rsidRPr="006F371C" w:rsidRDefault="006F371C" w:rsidP="006F371C">
      <w:pPr>
        <w:spacing w:after="0" w:line="240" w:lineRule="auto"/>
        <w:jc w:val="both"/>
        <w:rPr>
          <w:rFonts w:ascii="Times New Roman" w:hAnsi="Times New Roman"/>
          <w:sz w:val="24"/>
          <w:szCs w:val="24"/>
        </w:rPr>
      </w:pPr>
      <w:r>
        <w:rPr>
          <w:rFonts w:ascii="Times New Roman" w:hAnsi="Times New Roman"/>
          <w:sz w:val="24"/>
          <w:szCs w:val="24"/>
        </w:rPr>
        <w:t xml:space="preserve">6.1. </w:t>
      </w:r>
      <w:r w:rsidR="005E33B2" w:rsidRPr="006F371C">
        <w:rPr>
          <w:rFonts w:ascii="Times New Roman" w:hAnsi="Times New Roman"/>
          <w:sz w:val="24"/>
          <w:szCs w:val="24"/>
        </w:rPr>
        <w:t>Rozszerzenia zakresu:</w:t>
      </w:r>
    </w:p>
    <w:p w:rsidR="005E33B2" w:rsidRPr="003D10EA"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D10EA">
        <w:rPr>
          <w:rFonts w:ascii="Times New Roman" w:hAnsi="Times New Roman"/>
          <w:sz w:val="24"/>
          <w:szCs w:val="24"/>
        </w:rPr>
        <w:t xml:space="preserve">Rozszerzenie dotyczy objęcia ochroną sprzętu niezależnie od wieku i stopnia umorzenia zarówno dla użytkowania stacjonarnego jak </w:t>
      </w:r>
      <w:r>
        <w:rPr>
          <w:rFonts w:ascii="Times New Roman" w:hAnsi="Times New Roman"/>
          <w:sz w:val="24"/>
          <w:szCs w:val="24"/>
        </w:rPr>
        <w:t xml:space="preserve">nie stacjonarnego, </w:t>
      </w:r>
      <w:r w:rsidRPr="003D10EA">
        <w:rPr>
          <w:rFonts w:ascii="Times New Roman" w:hAnsi="Times New Roman"/>
          <w:sz w:val="24"/>
          <w:szCs w:val="24"/>
        </w:rPr>
        <w:t>a także objęcia ochroną kosztu instalacji i uruchomienia systemu</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D10EA">
        <w:rPr>
          <w:rFonts w:ascii="Times New Roman" w:hAnsi="Times New Roman"/>
          <w:sz w:val="24"/>
          <w:szCs w:val="24"/>
        </w:rPr>
        <w:t xml:space="preserve">Rozszerzenie dotyczy objęcia ochroną kosztów instalacji i </w:t>
      </w:r>
      <w:r w:rsidRPr="00377B54">
        <w:rPr>
          <w:rFonts w:ascii="Times New Roman" w:hAnsi="Times New Roman"/>
          <w:sz w:val="24"/>
          <w:szCs w:val="24"/>
        </w:rPr>
        <w:t>ponownego uruchomienia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kradzieży zwykłej z limitem 20 000 PLN na jedno i wszystkie zdarzenia.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kradzieży zwykłej sprzętu elektronicznego znajdującego się na zewnątrz budynków typu kamery przemysłowe, jeżeli sprzęt  ten był przytwierdzony do podłoża lub budynków czy budowli w sposób uniemożliwiający jego kradzież bez użycia siły i/lub narzędzi , z limitem 100 000 PLN na jedno i wszystkie zdarzenia.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dotyczące ochrony sprzętu nie podłączonego na stanowisku pracy lub  podczas przerwy w eksploatacji.</w:t>
      </w:r>
    </w:p>
    <w:p w:rsidR="006F371C" w:rsidRDefault="005E33B2" w:rsidP="006F371C">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szkody w sprzęcie stacjonarnym wynikłe podczas transportu pomiędzy poszczególnymi lokalizacjami z limitem  100 000 PLN</w:t>
      </w:r>
    </w:p>
    <w:p w:rsidR="005E33B2" w:rsidRPr="006F371C"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6.2. </w:t>
      </w:r>
      <w:r w:rsidR="005E33B2" w:rsidRPr="006F371C">
        <w:rPr>
          <w:rFonts w:ascii="Times New Roman" w:hAnsi="Times New Roman"/>
          <w:sz w:val="24"/>
          <w:szCs w:val="24"/>
        </w:rPr>
        <w:t>Miejsce ubezpieczenia zgodnie z podanymi</w:t>
      </w:r>
      <w:r w:rsidR="00932EE1" w:rsidRPr="006F371C">
        <w:rPr>
          <w:rFonts w:ascii="Times New Roman" w:hAnsi="Times New Roman"/>
          <w:sz w:val="24"/>
          <w:szCs w:val="24"/>
        </w:rPr>
        <w:t xml:space="preserve"> lokalizacjami w załączniku nr 9</w:t>
      </w:r>
      <w:r w:rsidR="005E33B2" w:rsidRPr="006F371C">
        <w:rPr>
          <w:rFonts w:ascii="Times New Roman" w:hAnsi="Times New Roman"/>
          <w:sz w:val="24"/>
          <w:szCs w:val="24"/>
        </w:rPr>
        <w:t xml:space="preserve"> i nr </w:t>
      </w:r>
      <w:r w:rsidR="00932EE1" w:rsidRPr="006F371C">
        <w:rPr>
          <w:rFonts w:ascii="Times New Roman" w:hAnsi="Times New Roman"/>
          <w:sz w:val="24"/>
          <w:szCs w:val="24"/>
        </w:rPr>
        <w:t>12</w:t>
      </w:r>
      <w:r w:rsidR="005E33B2" w:rsidRPr="006F371C">
        <w:rPr>
          <w:rFonts w:ascii="Times New Roman" w:hAnsi="Times New Roman"/>
          <w:sz w:val="24"/>
          <w:szCs w:val="24"/>
        </w:rPr>
        <w:t xml:space="preserve"> oraz klauzulą miejsca ubezpieczenia.</w:t>
      </w:r>
    </w:p>
    <w:p w:rsidR="005E33B2" w:rsidRPr="001B55EC"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6.3. </w:t>
      </w:r>
      <w:r w:rsidR="005E33B2" w:rsidRPr="001B55EC">
        <w:rPr>
          <w:rFonts w:ascii="Times New Roman" w:hAnsi="Times New Roman"/>
          <w:sz w:val="24"/>
          <w:szCs w:val="24"/>
        </w:rPr>
        <w:t>Zakres terytorialny ochrony dla sprzętu przenośnego obejmuje teren RP + Europa</w:t>
      </w:r>
    </w:p>
    <w:p w:rsidR="005E33B2" w:rsidRPr="0067141E"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6.4. </w:t>
      </w:r>
      <w:r w:rsidR="005E33B2" w:rsidRPr="0067141E">
        <w:rPr>
          <w:rFonts w:ascii="Times New Roman" w:hAnsi="Times New Roman"/>
          <w:sz w:val="24"/>
          <w:szCs w:val="24"/>
        </w:rPr>
        <w:t>Fra</w:t>
      </w:r>
      <w:r w:rsidR="000C2985">
        <w:rPr>
          <w:rFonts w:ascii="Times New Roman" w:hAnsi="Times New Roman"/>
          <w:sz w:val="24"/>
          <w:szCs w:val="24"/>
        </w:rPr>
        <w:t xml:space="preserve">nszyza redukcyjna w wysokości: </w:t>
      </w:r>
      <w:r w:rsidR="000C2985" w:rsidRPr="003F5513">
        <w:rPr>
          <w:rFonts w:ascii="Times New Roman" w:hAnsi="Times New Roman"/>
          <w:sz w:val="24"/>
          <w:szCs w:val="24"/>
        </w:rPr>
        <w:t>2</w:t>
      </w:r>
      <w:r w:rsidR="005E33B2" w:rsidRPr="003F5513">
        <w:rPr>
          <w:rFonts w:ascii="Times New Roman" w:hAnsi="Times New Roman"/>
          <w:sz w:val="24"/>
          <w:szCs w:val="24"/>
        </w:rPr>
        <w:t>00 PLN</w:t>
      </w:r>
      <w:r w:rsidR="005E33B2" w:rsidRPr="0067141E">
        <w:rPr>
          <w:rFonts w:ascii="Times New Roman" w:hAnsi="Times New Roman"/>
          <w:sz w:val="24"/>
          <w:szCs w:val="24"/>
        </w:rPr>
        <w:t xml:space="preserve"> na zdarzenie.</w:t>
      </w:r>
    </w:p>
    <w:p w:rsidR="005E33B2" w:rsidRPr="008D31FB"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6.5. </w:t>
      </w:r>
      <w:r w:rsidR="005E33B2" w:rsidRPr="008D31FB">
        <w:rPr>
          <w:rFonts w:ascii="Times New Roman" w:hAnsi="Times New Roman"/>
          <w:sz w:val="24"/>
          <w:szCs w:val="24"/>
        </w:rPr>
        <w:t>Likwidacja szkód zgodnie z treścią klauzul likwidacyjnych. Zamawiający nie ma możliwości odliczania podatku VAT, wypłacane odszkodowania obligatoryjnie muszą go zawierać.</w:t>
      </w:r>
    </w:p>
    <w:p w:rsidR="005E33B2" w:rsidRDefault="005E33B2" w:rsidP="00374058">
      <w:pPr>
        <w:jc w:val="both"/>
        <w:rPr>
          <w:rFonts w:ascii="Times New Roman" w:hAnsi="Times New Roman"/>
          <w:sz w:val="24"/>
          <w:szCs w:val="24"/>
        </w:rPr>
      </w:pPr>
    </w:p>
    <w:p w:rsidR="005E33B2" w:rsidRDefault="005E33B2" w:rsidP="00374058">
      <w:pPr>
        <w:pStyle w:val="Akapitzlist"/>
        <w:numPr>
          <w:ilvl w:val="0"/>
          <w:numId w:val="3"/>
        </w:numPr>
        <w:spacing w:line="240" w:lineRule="auto"/>
        <w:ind w:left="180" w:firstLine="180"/>
        <w:jc w:val="both"/>
        <w:rPr>
          <w:rFonts w:ascii="Times New Roman" w:hAnsi="Times New Roman"/>
          <w:b/>
          <w:sz w:val="24"/>
          <w:szCs w:val="24"/>
        </w:rPr>
      </w:pPr>
      <w:r>
        <w:rPr>
          <w:rFonts w:ascii="Times New Roman" w:hAnsi="Times New Roman"/>
          <w:b/>
          <w:sz w:val="24"/>
          <w:szCs w:val="24"/>
        </w:rPr>
        <w:t>Klauzule dodatkowe</w:t>
      </w:r>
      <w:r w:rsidR="00FC07A1">
        <w:rPr>
          <w:rFonts w:ascii="Times New Roman" w:hAnsi="Times New Roman"/>
          <w:b/>
          <w:sz w:val="24"/>
          <w:szCs w:val="24"/>
        </w:rPr>
        <w:t xml:space="preserve"> obligatoryjne</w:t>
      </w:r>
      <w:r w:rsidR="004B1032">
        <w:rPr>
          <w:rFonts w:ascii="Times New Roman" w:hAnsi="Times New Roman"/>
          <w:b/>
          <w:sz w:val="24"/>
          <w:szCs w:val="24"/>
        </w:rPr>
        <w:t xml:space="preserve"> dla wszystkich zadań </w:t>
      </w:r>
    </w:p>
    <w:p w:rsidR="005E33B2" w:rsidRPr="004F2724" w:rsidRDefault="005E33B2" w:rsidP="00374058">
      <w:pPr>
        <w:spacing w:line="240" w:lineRule="auto"/>
        <w:jc w:val="both"/>
        <w:rPr>
          <w:rFonts w:ascii="Times New Roman" w:hAnsi="Times New Roman"/>
          <w:sz w:val="24"/>
          <w:szCs w:val="24"/>
        </w:rPr>
      </w:pPr>
      <w:r w:rsidRPr="004F2724">
        <w:rPr>
          <w:rFonts w:ascii="Times New Roman" w:hAnsi="Times New Roman"/>
          <w:sz w:val="24"/>
          <w:szCs w:val="24"/>
        </w:rPr>
        <w:t>Zakres ubezpieczenia zostaje rozszerzony o klauzule:</w:t>
      </w:r>
    </w:p>
    <w:p w:rsidR="005E33B2" w:rsidRPr="00A94665" w:rsidRDefault="005E33B2" w:rsidP="00B8058D">
      <w:pPr>
        <w:pStyle w:val="Akapitzlist"/>
        <w:numPr>
          <w:ilvl w:val="0"/>
          <w:numId w:val="10"/>
        </w:numPr>
        <w:spacing w:after="0" w:line="259" w:lineRule="auto"/>
        <w:ind w:left="0" w:firstLine="0"/>
        <w:jc w:val="both"/>
        <w:rPr>
          <w:rFonts w:ascii="Times New Roman" w:hAnsi="Times New Roman"/>
          <w:b/>
          <w:sz w:val="24"/>
          <w:szCs w:val="24"/>
        </w:rPr>
      </w:pPr>
      <w:r w:rsidRPr="00A94665">
        <w:rPr>
          <w:rFonts w:ascii="Times New Roman" w:hAnsi="Times New Roman"/>
          <w:b/>
          <w:sz w:val="24"/>
          <w:szCs w:val="24"/>
        </w:rPr>
        <w:t>Klauzula reprezentantów</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1) </w:t>
      </w:r>
      <w:r w:rsidRPr="0023022A">
        <w:rPr>
          <w:rFonts w:ascii="Times New Roman" w:hAnsi="Times New Roman"/>
          <w:sz w:val="24"/>
          <w:szCs w:val="24"/>
        </w:rPr>
        <w:t>TU nie odpowiada za szkody wyrządzone z winy umyślnej lub wskutek rażącego niedbalstwa wyłącznie przez Ubezpieczającego i/lub Ubezpieczonego, przy czym za Ubezpieczającego i/lub Ubezpieczonego uważa się:</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lastRenderedPageBreak/>
        <w:t xml:space="preserve">a) </w:t>
      </w:r>
      <w:r w:rsidRPr="0023022A">
        <w:rPr>
          <w:rFonts w:ascii="Times New Roman" w:hAnsi="Times New Roman"/>
          <w:sz w:val="24"/>
          <w:szCs w:val="24"/>
        </w:rPr>
        <w:t xml:space="preserve">w przedsiębiorstwach państwowych i komunalnych: dyrektora, jego zastępców, zarządców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b) </w:t>
      </w:r>
      <w:r w:rsidRPr="0023022A">
        <w:rPr>
          <w:rFonts w:ascii="Times New Roman" w:hAnsi="Times New Roman"/>
          <w:sz w:val="24"/>
          <w:szCs w:val="24"/>
        </w:rPr>
        <w:t xml:space="preserve">w spółkach z ograniczoną odpowiedzialnością i akcyjnych: członków zarządu, prokurentów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c) </w:t>
      </w:r>
      <w:r w:rsidRPr="0023022A">
        <w:rPr>
          <w:rFonts w:ascii="Times New Roman" w:hAnsi="Times New Roman"/>
          <w:sz w:val="24"/>
          <w:szCs w:val="24"/>
        </w:rPr>
        <w:t>w spółkach komandytowo-akcyjnych: komplementariuszy będących osobami fizycznymi,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d) </w:t>
      </w:r>
      <w:r w:rsidRPr="0023022A">
        <w:rPr>
          <w:rFonts w:ascii="Times New Roman" w:hAnsi="Times New Roman"/>
          <w:sz w:val="24"/>
          <w:szCs w:val="24"/>
        </w:rPr>
        <w:t>w spółkach jawnych oraz komandytowych: komplementariuszy będących osobami fizycznymi, wspólników,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e) </w:t>
      </w:r>
      <w:r w:rsidRPr="0023022A">
        <w:rPr>
          <w:rFonts w:ascii="Times New Roman" w:hAnsi="Times New Roman"/>
          <w:sz w:val="24"/>
          <w:szCs w:val="24"/>
        </w:rPr>
        <w:t>w spółkach partnerskich - partnerów,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f) </w:t>
      </w:r>
      <w:r w:rsidRPr="0023022A">
        <w:rPr>
          <w:rFonts w:ascii="Times New Roman" w:hAnsi="Times New Roman"/>
          <w:sz w:val="24"/>
          <w:szCs w:val="24"/>
        </w:rPr>
        <w:t>w spółkach cywilnych: wspólników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g) </w:t>
      </w:r>
      <w:r w:rsidRPr="0023022A">
        <w:rPr>
          <w:rFonts w:ascii="Times New Roman" w:hAnsi="Times New Roman"/>
          <w:sz w:val="24"/>
          <w:szCs w:val="24"/>
        </w:rPr>
        <w:t>w spółdzielniach, fundacjach, stowarzyszeniach i wspólnotach: członków zarządu,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h) </w:t>
      </w:r>
      <w:r w:rsidRPr="0023022A">
        <w:rPr>
          <w:rFonts w:ascii="Times New Roman" w:hAnsi="Times New Roman"/>
          <w:sz w:val="24"/>
          <w:szCs w:val="24"/>
        </w:rPr>
        <w:t xml:space="preserve">w przypadku osób fizycznych prowadzących działalność gospodarczą – te osoby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Dotyczy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 xml:space="preserve"> majątkowych. Ryzyko OCD do limitu 100 000,00 PLN</w:t>
      </w:r>
    </w:p>
    <w:p w:rsidR="005E33B2" w:rsidRPr="00A94665" w:rsidRDefault="005E33B2" w:rsidP="00B8058D">
      <w:pPr>
        <w:pStyle w:val="Akapitzlist"/>
        <w:numPr>
          <w:ilvl w:val="0"/>
          <w:numId w:val="10"/>
        </w:numPr>
        <w:spacing w:after="0" w:line="259" w:lineRule="auto"/>
        <w:jc w:val="both"/>
        <w:rPr>
          <w:rFonts w:ascii="Times New Roman" w:hAnsi="Times New Roman"/>
          <w:b/>
          <w:sz w:val="24"/>
          <w:szCs w:val="24"/>
        </w:rPr>
      </w:pPr>
      <w:r w:rsidRPr="00A94665">
        <w:rPr>
          <w:rFonts w:ascii="Times New Roman" w:hAnsi="Times New Roman"/>
          <w:b/>
          <w:sz w:val="24"/>
          <w:szCs w:val="24"/>
        </w:rPr>
        <w:t>Klauzula ubezpieczenia mienia poza lokalizacjami określonymi w umowie ubezpieczenia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Z zachowaniem pozostałych niezmienionych niniejszą klauzulą postanowień ogólnych warunków ubezpieczenia i innych postanowień umowy ubezpieczenia, ustala się, że TU obejmuje ochroną ubezpieczeniową wszystkie dowolne miejsca na terenie Polski, gdzie znajduje się ubezpieczone mienie, pod warunkiem spełnienia w tym miejscu minimalnych wymogów dotyczących zabezpieczeń przeciwpożarowych i przeciw</w:t>
      </w:r>
      <w:r>
        <w:rPr>
          <w:rFonts w:ascii="Times New Roman" w:hAnsi="Times New Roman"/>
          <w:sz w:val="24"/>
          <w:szCs w:val="24"/>
        </w:rPr>
        <w:t>-</w:t>
      </w:r>
      <w:r w:rsidRPr="0023022A">
        <w:rPr>
          <w:rFonts w:ascii="Times New Roman" w:hAnsi="Times New Roman"/>
          <w:sz w:val="24"/>
          <w:szCs w:val="24"/>
        </w:rPr>
        <w:t xml:space="preserve">kradzieżowych określonych w ogólnych warunkach ubezpieczenia </w:t>
      </w:r>
      <w:r>
        <w:rPr>
          <w:rFonts w:ascii="Times New Roman" w:hAnsi="Times New Roman"/>
          <w:sz w:val="24"/>
          <w:szCs w:val="24"/>
        </w:rPr>
        <w:br/>
      </w:r>
      <w:r w:rsidRPr="0023022A">
        <w:rPr>
          <w:rFonts w:ascii="Times New Roman" w:hAnsi="Times New Roman"/>
          <w:sz w:val="24"/>
          <w:szCs w:val="24"/>
        </w:rPr>
        <w:t>lub wymaganych przez TU na podstawie indywidualnych postanowień.</w:t>
      </w:r>
    </w:p>
    <w:p w:rsidR="005E33B2" w:rsidRPr="0023022A"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200 000,00 na jedno i wszystkie zdarzenia w okresie ubezpieczenia</w:t>
      </w:r>
    </w:p>
    <w:p w:rsidR="005E33B2" w:rsidRPr="0023022A" w:rsidRDefault="005E33B2" w:rsidP="00374058">
      <w:pPr>
        <w:spacing w:after="0"/>
        <w:jc w:val="both"/>
        <w:rPr>
          <w:rFonts w:ascii="Times New Roman" w:hAnsi="Times New Roman"/>
          <w:sz w:val="24"/>
          <w:szCs w:val="24"/>
        </w:rPr>
      </w:pPr>
    </w:p>
    <w:p w:rsidR="005E33B2" w:rsidRPr="00A94665" w:rsidRDefault="005E33B2" w:rsidP="00B8058D">
      <w:pPr>
        <w:pStyle w:val="Akapitzlist"/>
        <w:numPr>
          <w:ilvl w:val="0"/>
          <w:numId w:val="10"/>
        </w:numPr>
        <w:spacing w:after="0" w:line="259" w:lineRule="auto"/>
        <w:jc w:val="both"/>
        <w:rPr>
          <w:rFonts w:ascii="Times New Roman" w:hAnsi="Times New Roman"/>
          <w:b/>
          <w:sz w:val="24"/>
          <w:szCs w:val="24"/>
        </w:rPr>
      </w:pPr>
      <w:r w:rsidRPr="00A94665">
        <w:rPr>
          <w:rFonts w:ascii="Times New Roman" w:hAnsi="Times New Roman"/>
          <w:b/>
          <w:sz w:val="24"/>
          <w:szCs w:val="24"/>
        </w:rPr>
        <w:t>Klauzula nowych miejsc ubezpieczenia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automatyczną ochroną ubezpieczeniową wszystkie nowe lokalizacje Ubezpieczającego związane z prowadzoną przez niego działalnością objętą umową ubezpieczenia, pod warunkiem ich zgłoszenia wraz z określeniem sum ubezpieczenia w ciągu 30 dni od daty podjęcia w nich działalności. Ochroną ubezpieczeniową </w:t>
      </w:r>
      <w:r>
        <w:rPr>
          <w:rFonts w:ascii="Times New Roman" w:hAnsi="Times New Roman"/>
          <w:sz w:val="24"/>
          <w:szCs w:val="24"/>
        </w:rPr>
        <w:br/>
      </w:r>
      <w:r w:rsidRPr="0023022A">
        <w:rPr>
          <w:rFonts w:ascii="Times New Roman" w:hAnsi="Times New Roman"/>
          <w:sz w:val="24"/>
          <w:szCs w:val="24"/>
        </w:rPr>
        <w:t xml:space="preserve">w ramach niniejszej klauzuli objęte są wyłącznie lokalizacje na terenie RP, spełniające minimalne wymogi dotyczące zabezpieczeń przeciwpożarowych i </w:t>
      </w:r>
      <w:proofErr w:type="spellStart"/>
      <w:r w:rsidRPr="0023022A">
        <w:rPr>
          <w:rFonts w:ascii="Times New Roman" w:hAnsi="Times New Roman"/>
          <w:sz w:val="24"/>
          <w:szCs w:val="24"/>
        </w:rPr>
        <w:t>przeciwkradzieżowych</w:t>
      </w:r>
      <w:proofErr w:type="spellEnd"/>
      <w:r w:rsidRPr="0023022A">
        <w:rPr>
          <w:rFonts w:ascii="Times New Roman" w:hAnsi="Times New Roman"/>
          <w:sz w:val="24"/>
          <w:szCs w:val="24"/>
        </w:rPr>
        <w:t xml:space="preserve"> określone w ogólnych warunkach ubezpieczenia. </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Ochrona ubezpieczeniowa nie obejmuje magazynów wysokiego składowania.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Składka za udzieloną ochronę dla nowych miejsc ubezpieczenia zostanie opłacona w systemie pro rata temporis z zastosowaniem stawek określonych w umowie ubezpieczenia.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3 000 000 zł na jedną i wszystkie nowoutworzone lokalizacje. W odniesieniu do ubezpieczenia mienia od kradzieży z włamaniem i rabunku odpowiedzialność w ramach sum ubezpieczenia określonych w umowie ubezpieczenia.</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nowych miejsc ubezpieczenia w odniesieniu do sprzętu elektronicznego</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automatyczną ochroną ubezpieczeniową wszystkie nowe lokalizacje Ubezpieczającego związane z prowadzoną przez niego działalnością objętą umową ubezpieczenia, pod warunkiem ich zgłoszenia wraz z określeniem sum ubezpieczenia w ciągu 30 dni od daty podjęcia w nich działalności. Ochroną ubezpieczeniową </w:t>
      </w:r>
      <w:r>
        <w:rPr>
          <w:rFonts w:ascii="Times New Roman" w:hAnsi="Times New Roman"/>
          <w:sz w:val="24"/>
          <w:szCs w:val="24"/>
        </w:rPr>
        <w:br/>
      </w:r>
      <w:r w:rsidRPr="00D73ADD">
        <w:rPr>
          <w:rFonts w:ascii="Times New Roman" w:hAnsi="Times New Roman"/>
          <w:sz w:val="24"/>
          <w:szCs w:val="24"/>
        </w:rPr>
        <w:lastRenderedPageBreak/>
        <w:t xml:space="preserve">w ramach niniejszej klauzuli objęte są wyłącznie lokalizacje na terenie RP, spełniające minimalne wymogi dotyczące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określone w ogólnych warunkach ubezpieczenia. </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Ochrona ubezpieczeniowa nie obejmuje magazynów wysokiego składowania.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Składka za udzieloną ochronę dla nowych miejsc ubezpieczenia zostanie opłacona w systemie pro rata temporis z zastosowaniem stawek określonych w umowie ubezpieczenia.</w:t>
      </w:r>
    </w:p>
    <w:p w:rsidR="005E33B2"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100 000,00 zł na jedną i wszystkie nowoutworzone lokalizacje.</w:t>
      </w:r>
    </w:p>
    <w:p w:rsidR="009F11E4" w:rsidRDefault="009F11E4" w:rsidP="00374058">
      <w:pPr>
        <w:spacing w:after="0"/>
        <w:jc w:val="both"/>
        <w:rPr>
          <w:rFonts w:ascii="Times New Roman" w:hAnsi="Times New Roman"/>
          <w:sz w:val="24"/>
          <w:szCs w:val="24"/>
        </w:rPr>
      </w:pPr>
    </w:p>
    <w:p w:rsidR="009F11E4" w:rsidRPr="00D73ADD" w:rsidRDefault="009F11E4" w:rsidP="00374058">
      <w:pPr>
        <w:spacing w:after="0"/>
        <w:jc w:val="both"/>
        <w:rPr>
          <w:rFonts w:ascii="Times New Roman" w:hAnsi="Times New Roman"/>
          <w:sz w:val="24"/>
          <w:szCs w:val="24"/>
        </w:rPr>
      </w:pPr>
    </w:p>
    <w:p w:rsidR="005E33B2" w:rsidRPr="00D73ADD" w:rsidRDefault="005E33B2" w:rsidP="00374058">
      <w:pPr>
        <w:spacing w:after="0"/>
        <w:jc w:val="both"/>
        <w:rPr>
          <w:rFonts w:ascii="Times New Roman" w:hAnsi="Times New Roman"/>
          <w:sz w:val="24"/>
          <w:szCs w:val="24"/>
        </w:rPr>
      </w:pP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Zakresem ubezpieczenia zostaje automatycznie objęte mienie, w którego posiadanie wejdzie Ubezpieczający / Ubezpieczony w okresie trwania odpowiedzialności Ubezpieczyciela a także zwiększenia wartości własnych środków trwałych i nakładów inwestycyjnych w obce środki, wskutek wykonania inwestycji, modernizacji i innych czynności podnoszących ich wartość. Automatycznie pokryte ochroną będą także wszystkie składniki mienia, które nie zostały wpisane do rejestru środków trwałych pod warunkiem udokumentowania ich posiadania lub przyjęcia (np. umowa, faktura, itp.). Rozliczenie składki nastąpi w terminie do 30 dni od dnia zakończenia okresu ubezpieczenia. Składka za inwestycje i nowo nabyte środki trwałe będzie naliczona od dnia, w którym zostały wpisane do ewidencji środków trwałych, zgodnie z zasadą pro rata temporis oraz z zastosowaniem tych samych taryf. W przypadku, gdy zwiększenie wartości majątku nie przekroczy 10% łącznej sumy ubezpieczenia - rozliczenie składki z tytułu obowiązywania niniejszej klauzuli nie będzie miało zastosowania.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 podmiotów zależnych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wydzielenia ze struktur Ubezpieczonego podmiotów zależnych TU automatycznie udzielać będzie ochrony nowopowstałym podmiotom w ramach dotychczas ubezpieczanego mienia w zakresie istniejących umów ubezpieczenia, pod warunkiem poinformowania TU w terminie 14 dni o zaistniałej zmianie stosunku własności. Każdej ze stron przysługuje prawo wypowiedzenia umowy ubezpieczenia </w:t>
      </w:r>
      <w:r>
        <w:rPr>
          <w:rFonts w:ascii="Times New Roman" w:hAnsi="Times New Roman"/>
          <w:sz w:val="24"/>
          <w:szCs w:val="24"/>
        </w:rPr>
        <w:br/>
      </w:r>
      <w:r w:rsidRPr="00D73ADD">
        <w:rPr>
          <w:rFonts w:ascii="Times New Roman" w:hAnsi="Times New Roman"/>
          <w:sz w:val="24"/>
          <w:szCs w:val="24"/>
        </w:rPr>
        <w:t xml:space="preserve">w odniesieniu do  nowopowstałego podmiotu w terminie 30 dni od daty poinformowania TU </w:t>
      </w:r>
      <w:r>
        <w:rPr>
          <w:rFonts w:ascii="Times New Roman" w:hAnsi="Times New Roman"/>
          <w:sz w:val="24"/>
          <w:szCs w:val="24"/>
        </w:rPr>
        <w:br/>
      </w:r>
      <w:r w:rsidRPr="00D73ADD">
        <w:rPr>
          <w:rFonts w:ascii="Times New Roman" w:hAnsi="Times New Roman"/>
          <w:sz w:val="24"/>
          <w:szCs w:val="24"/>
        </w:rPr>
        <w:t xml:space="preserve">o przedmiotowej zmianie.  </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Warunkiem udzielenia automatycznej ochrony ubezpieczeniowej jest aby podmiot zależny posiadał identyczny lub węższy zgodnie z zapisami w KRS profil działalności jak podmiot z którego </w:t>
      </w:r>
      <w:r>
        <w:rPr>
          <w:rFonts w:ascii="Times New Roman" w:hAnsi="Times New Roman"/>
          <w:sz w:val="24"/>
          <w:szCs w:val="24"/>
        </w:rPr>
        <w:br/>
      </w:r>
      <w:r w:rsidRPr="00D73ADD">
        <w:rPr>
          <w:rFonts w:ascii="Times New Roman" w:hAnsi="Times New Roman"/>
          <w:sz w:val="24"/>
          <w:szCs w:val="24"/>
        </w:rPr>
        <w:t xml:space="preserve">się wydzielił, a stan i rodzaj posiadanych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w:t>
      </w:r>
      <w:r>
        <w:rPr>
          <w:rFonts w:ascii="Times New Roman" w:hAnsi="Times New Roman"/>
          <w:sz w:val="24"/>
          <w:szCs w:val="24"/>
        </w:rPr>
        <w:br/>
      </w:r>
      <w:r w:rsidRPr="00D73ADD">
        <w:rPr>
          <w:rFonts w:ascii="Times New Roman" w:hAnsi="Times New Roman"/>
          <w:sz w:val="24"/>
          <w:szCs w:val="24"/>
        </w:rPr>
        <w:t xml:space="preserve">nie uległ zmianie. </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likwidacyjna środków trwałych dla szkód całkowitych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Bez względu na wiek, stopień umorzenia księgowego lub zużycia technicznego danego środka trwałego, odszkodowanie wypłacane jest w kwocie odpowiadającej pełnej wysokości wartości przyjętej </w:t>
      </w:r>
      <w:r>
        <w:rPr>
          <w:rFonts w:ascii="Times New Roman" w:hAnsi="Times New Roman"/>
          <w:sz w:val="24"/>
          <w:szCs w:val="24"/>
        </w:rPr>
        <w:br/>
      </w:r>
      <w:r w:rsidRPr="00D73ADD">
        <w:rPr>
          <w:rFonts w:ascii="Times New Roman" w:hAnsi="Times New Roman"/>
          <w:sz w:val="24"/>
          <w:szCs w:val="24"/>
        </w:rPr>
        <w:t>do ubezpieczenia, bez potrącenia umorzenia księgowego i zużycia technicznego. Górną granicą odpowiedzialności za dany środek trwały jest jego zadeklarowana suma ubezpieczenia (w wartości księgowej brutto lub wartości odtworzeniowej).</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lastRenderedPageBreak/>
        <w:t>Wymienione zasady obliczania odszkodowania obowiązują również w przypadku, gdy Ubezpieczający odstąpi od naprawy lub odbudowy zniszczonego mienia.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Nie ma zastosowania instytucja niedoubezpieczenia i zasada proporcji. Obowiązek udowodnienia ewentualnego nadubezpieczenia spoczywa na zakładzie ubezpieczeń. 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likwidacyjna wartości częściowych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przyjmuje się, że przy ustaleniu wysokości szkody w przedmiocie należącym do jednej całości, jednego kompletu, nie uwzględnia się wartości pozostałości, nieuszkodzonych lub nieutraconych przedmiotów wchodzących w skład tej całości (kompletu), pod warunkiem, że nie ma możliwości rekonstrukcji całości przez zakup, dorobienie </w:t>
      </w:r>
      <w:r>
        <w:rPr>
          <w:rFonts w:ascii="Times New Roman" w:hAnsi="Times New Roman"/>
          <w:sz w:val="24"/>
          <w:szCs w:val="24"/>
        </w:rPr>
        <w:br/>
      </w:r>
      <w:r w:rsidRPr="00D73ADD">
        <w:rPr>
          <w:rFonts w:ascii="Times New Roman" w:hAnsi="Times New Roman"/>
          <w:sz w:val="24"/>
          <w:szCs w:val="24"/>
        </w:rPr>
        <w:t xml:space="preserve">lub uzupełnienie w jakikolwiek inny sposób.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składowania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szkód powstałych w wyniku zalania TU  ponosi odpowiedzialność również za mienie składowane bezpośrednio na podłodze pod warunkiem, że sposób składowania mienia bezpośrednio na podłodze był uzasadniony specyfiką lub właściwościami tego mienia.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Limit odpowiedzialności: 200 000,00 zł na jedno i wszystkie zdarzenia w okresie ubezpieczenia </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zwrotu składki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umowy ubezpieczenia strony uzgodniły, iż w przypadku wygaśnięcia stosunku ubezpieczenia przed upływem okresu, na jaki została zawarta umowa, Ubezpieczyciel zwraca składkę za niewykorzystany okres w systemie pro rata temporis za każdy dzień bez potrącania kosztów manipulacyjnych.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przeszacowania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zobowiązuje się pokryć ochroną ubezpieczeniową wzrost wartości środków trwałych wynikający z przeszacowania.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zabezpieczeń przeciwpożarowych i </w:t>
      </w:r>
      <w:proofErr w:type="spellStart"/>
      <w:r w:rsidRPr="00D73ADD">
        <w:rPr>
          <w:rFonts w:ascii="Times New Roman" w:hAnsi="Times New Roman"/>
          <w:b/>
          <w:sz w:val="24"/>
          <w:szCs w:val="24"/>
        </w:rPr>
        <w:t>przeciwkradzieżowych</w:t>
      </w:r>
      <w:proofErr w:type="spellEnd"/>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Ubezpieczyciel oświadcza, </w:t>
      </w:r>
      <w:r>
        <w:rPr>
          <w:rFonts w:ascii="Times New Roman" w:hAnsi="Times New Roman"/>
          <w:sz w:val="24"/>
          <w:szCs w:val="24"/>
        </w:rPr>
        <w:br/>
      </w:r>
      <w:r w:rsidRPr="00D73ADD">
        <w:rPr>
          <w:rFonts w:ascii="Times New Roman" w:hAnsi="Times New Roman"/>
          <w:sz w:val="24"/>
          <w:szCs w:val="24"/>
        </w:rPr>
        <w:t xml:space="preserve">iż uznaje stan istniejących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za wystarczający do czasu przeprowadzenia lustracji przedmiotu ubezpieczenia, przy czym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po przeprowadzeniu lustracji nie będzie domagał się wprowadzenia zabezpieczeń ponad te, które określone są w OWU jako minimalne dla uznania odpowiedzialności Ubezpieczyciela. Po dokonaniu lustracji TU przedstawi wykaz brakujących zabezpieczeń wyznaczając jednocześnie termin na ich wprowadzenie. W przypadku niespełnienia zaleceń w wyznaczonym terminie TU może odmówić wypłaty ewentualnego odszkodowania w części lub w całości.</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odpowiedzialności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Początek okresu odpowiedzialności Ubezpieczyciela jest tożsamy z początkiem okresu ubezpieczenia. 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szkody Całkowitej</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Przyjmuje się, iż każda szkoda, w której koszty naprawy uszkodzonego mienia szacunkowo przekraczają 70 % jego wartości ubezpieczeniowe</w:t>
      </w:r>
      <w:r w:rsidR="00651BF9">
        <w:rPr>
          <w:rFonts w:ascii="Times New Roman" w:hAnsi="Times New Roman"/>
          <w:sz w:val="24"/>
          <w:szCs w:val="24"/>
        </w:rPr>
        <w:t>j traktowana będzie jako szkoda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odkupienia urządzeń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szkody obejmującej maszynę lub urządzenie, którego nie można odkupić ze względu na zakończenie jego produkcji, odszkodowanie wypłacane będzie w wysokości ceny maszyny lub urządzenia o najbardziej zbliżonych parametrach technicznych, nie więcej jednak niż suma ubezpieczenia przyjęta dla danego środka trwałego. Odszkodowanie takie nie będzie traktowane jako modernizacja.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zbiegu roszczeń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nie ma prawa odmówić likwidacji szkody i wypłaty odszkodowania w przypadku, gdy roszczenie o zadośćuczynienie powstałej szkodzie może być skierowane do osób trzecich (sprawcy zdarzenia) oraz gdy odszkodowanie przysługuje z umów ubezpieczenia zawartych przez osoby trzecie.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Default="005E33B2" w:rsidP="004F2724">
      <w:pPr>
        <w:spacing w:after="0"/>
        <w:jc w:val="both"/>
        <w:rPr>
          <w:rFonts w:ascii="Times New Roman" w:hAnsi="Times New Roman"/>
          <w:b/>
          <w:sz w:val="24"/>
          <w:szCs w:val="24"/>
        </w:rPr>
      </w:pPr>
    </w:p>
    <w:p w:rsidR="00651BF9" w:rsidRPr="00D73ADD" w:rsidRDefault="00651BF9"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okoliczności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TU jest zobowiązane – po otrzymaniu zawiadomienia o wypadku ubezpieczeniowym – prowadzić postępowanie likwidacyjne zmierzające do ustalenia i wyjaśnienia okoliczności związanych ze szkodą oraz wysokością szkody, w szczególności wypłacić odszkodowanie bez względu na toczące się w związku ze szkodą inne postępowanie, w tym sądowe lub przygotowawcze, o ile nie jest ono prowadzone przeciwko Ubezpieczającemu, Ubezpieczonemu lub ich reprezentantom.</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szkód powstałych w wyniku drobnych prac budowlanych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ochroną szkody powstałe w ubezpieczonym sprzęcie elektronicznym w związku </w:t>
      </w:r>
      <w:r>
        <w:rPr>
          <w:rFonts w:ascii="Times New Roman" w:hAnsi="Times New Roman"/>
          <w:sz w:val="24"/>
          <w:szCs w:val="24"/>
        </w:rPr>
        <w:br/>
      </w:r>
      <w:r w:rsidRPr="00D73ADD">
        <w:rPr>
          <w:rFonts w:ascii="Times New Roman" w:hAnsi="Times New Roman"/>
          <w:sz w:val="24"/>
          <w:szCs w:val="24"/>
        </w:rPr>
        <w:t>z prowadzonymi w miejscu ubezpieczenia drobnymi pracami remontowo-budowlanymi do sumy ubezpieczenia tego sprzętu..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Przez drobne prace remontowo-budowlane rozumie się wyłącznie prace, które: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nie wymagają uzyskania pozwolenia na budowę;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nie naruszają stabilności konstrukcji nośnej i dachowej budynku/budowli, w którym </w:t>
      </w:r>
      <w:r>
        <w:rPr>
          <w:rFonts w:ascii="Times New Roman" w:hAnsi="Times New Roman"/>
          <w:sz w:val="24"/>
          <w:szCs w:val="24"/>
        </w:rPr>
        <w:br/>
      </w:r>
      <w:r w:rsidRPr="00D73ADD">
        <w:rPr>
          <w:rFonts w:ascii="Times New Roman" w:hAnsi="Times New Roman"/>
          <w:sz w:val="24"/>
          <w:szCs w:val="24"/>
        </w:rPr>
        <w:t>są prowadzone;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nie mają wpływu na sprawność urządzeń przeciwpożarowych lub innych zabezpieczeń, których istnienie Ubezpieczający zadeklarował we wniosku o ubezpieczenie.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 xml:space="preserve">3. Z zakresu ochrony wyłączone są wszelkie szkody będące bezpośrednim lub pośrednim następstwem uszkodzenia instalacji wodnych, wodno-kanalizacyjnych, gazowych, elektrycznych, telekomunikacyjnych, itp., w wyniku prowadzenia prac remontowo-budowlanych. LIMIT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 konsumpcji sumy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redukcji po wypłacie odszkodowania sumy ubezpieczenia wskazanej w umowie ubezpieczenia, TU automatycznie odtworzy taką sumę ubezpieczenia do jej pierwotnej wysokości. Ubezpieczający zobowiązany będzie </w:t>
      </w:r>
      <w:r>
        <w:rPr>
          <w:rFonts w:ascii="Times New Roman" w:hAnsi="Times New Roman"/>
          <w:sz w:val="24"/>
          <w:szCs w:val="24"/>
        </w:rPr>
        <w:br/>
      </w:r>
      <w:r w:rsidRPr="00D73ADD">
        <w:rPr>
          <w:rFonts w:ascii="Times New Roman" w:hAnsi="Times New Roman"/>
          <w:sz w:val="24"/>
          <w:szCs w:val="24"/>
        </w:rPr>
        <w:t>do dopłaty stosownej składki w systemie pro rata temporis, wynikającej z automatycznego odtworzenia sumy ubezpieczenia w terminie 14 dni od momentu wypłaty odszkodowania. Niniejsza klauzula nie ma zastosowania do sum ubezpieczenia w systemie pierwszego ryzyka oraz limitów odpowiedzialności ustalanych na jedno i wszystkie zdarzenia w okresie ubezpieczenia.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i taryf</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doubezpieczenia, podwyższania lub uzupełniania sumy ubezpieczenia w okresie ubezpieczenia określonym w bieżącej umowie ubezpieczenia, będą mieć zastosowanie warunki umowy oraz stawki ubezpieczeniowe obowiązujące w dniu zawarcia umowy ubezpieczenia. Postanowienia niniejszej klauzuli nie mają zastosowania do przypadku uregulowanego w art. 816 kodeksu cywilnego.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płatności rat</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W przypadku wypłaty odszkodowania, Ubezpieczyciel nie jest uprawniony do potrącania z kwoty odszkodowania rat jeszcze nie wymagalnych lub żądania zapłaty pozostałych rat. Jeżeli zapłata należnej Ubezpieczycielowi składki dokonywana jest w formie przelewu bankowego lub przekazu pocztowego, za zapłatę uważa się chwilę złożenia zlecenia w banku lub w urzędzie pocztowym na właściwy rachunek Ubezpieczyciela.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czasu ochrony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Brak wpłaty przez Ubezpieczającego / Ubezpieczonego składki, bądź którejkolwiek z rat w terminie przewidzianym w umowie ubezpieczenia nie powoduje wygaśnięcia (rozwiązania) umowy ubezpieczenia, nie skutkuje także zawieszeniem udzielanej ochrony ubezpieczeniowej. W tym wypadku Ubezpieczyciel wyznaczy nowy termin zapłaty zaległej składki i wezwie ubezpieczającego do jej zapłaty. Brak płatności w dodatkowym terminie będzie skutkował brakiem odpowiedzialności. </w:t>
      </w:r>
      <w:r w:rsidR="009F11E4">
        <w:rPr>
          <w:rFonts w:ascii="Times New Roman" w:hAnsi="Times New Roman"/>
          <w:sz w:val="24"/>
          <w:szCs w:val="24"/>
        </w:rPr>
        <w:br/>
      </w: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przewłaszczenia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umowa ubezpieczenia nieruchomości, a także mienia ruchomego należącego do Ubezpieczającego, nie ulega rozwiązaniu w związku z przejściem własności na instytucję finansującą (np. bank, leasingodawca, dostawca, gwarant), chyba że własność zostanie trwale przeniesiona na nowego właściciela, w tym w szczególności nastąpi wydanie rzeczy. Umowa ubezpieczenia nie wygasa również wskutek powrotnego przejścia na Ubezpieczonego własności mienia przewłaszczonego.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Rozstrzygania sporów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Spory wynikające z umów ubezpieczenia rozpatrują sądy właściwe dla siedziby Ubezpieczającego. 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sądu polubownego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spory wynikłe z istnienia i stosowania umowy ubezpieczenia strony mogą poddać pod rozstrzygnięcie sądu polubownego. </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72 godzin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wszystkie szkody powstałe </w:t>
      </w:r>
      <w:r>
        <w:rPr>
          <w:rFonts w:ascii="Times New Roman" w:hAnsi="Times New Roman"/>
          <w:sz w:val="24"/>
          <w:szCs w:val="24"/>
        </w:rPr>
        <w:br/>
      </w:r>
      <w:r w:rsidRPr="00D73ADD">
        <w:rPr>
          <w:rFonts w:ascii="Times New Roman" w:hAnsi="Times New Roman"/>
          <w:sz w:val="24"/>
          <w:szCs w:val="24"/>
        </w:rPr>
        <w:t xml:space="preserve">w czasie następujących po sobie 72 godzin na skutek tego samego pojedynczego zdarzenia losowego, </w:t>
      </w:r>
      <w:r>
        <w:rPr>
          <w:rFonts w:ascii="Times New Roman" w:hAnsi="Times New Roman"/>
          <w:sz w:val="24"/>
          <w:szCs w:val="24"/>
        </w:rPr>
        <w:br/>
      </w:r>
      <w:r w:rsidRPr="00D73ADD">
        <w:rPr>
          <w:rFonts w:ascii="Times New Roman" w:hAnsi="Times New Roman"/>
          <w:sz w:val="24"/>
          <w:szCs w:val="24"/>
        </w:rPr>
        <w:t xml:space="preserve">(np.: huraganu, trzęsienia ziemi, deszczu nawalnego, powodzi) – objętego ochroną ubezpieczeniową </w:t>
      </w:r>
      <w:r>
        <w:rPr>
          <w:rFonts w:ascii="Times New Roman" w:hAnsi="Times New Roman"/>
          <w:sz w:val="24"/>
          <w:szCs w:val="24"/>
        </w:rPr>
        <w:br/>
      </w:r>
      <w:r w:rsidRPr="00D73ADD">
        <w:rPr>
          <w:rFonts w:ascii="Times New Roman" w:hAnsi="Times New Roman"/>
          <w:sz w:val="24"/>
          <w:szCs w:val="24"/>
        </w:rPr>
        <w:t>w ramach umowy ubezpieczenia, traktowane są jako pojedyncza szkoda w odniesieniu do sumy ubezpieczenia oraz franszyzy określonej w umowie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wzrostu ryzyka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Jeżeli ubezpieczający/ubezpieczony nie dopełni obowiązku zawiadomienia zakładu ubezpieczeń </w:t>
      </w:r>
      <w:r>
        <w:rPr>
          <w:rFonts w:ascii="Times New Roman" w:hAnsi="Times New Roman"/>
          <w:sz w:val="24"/>
          <w:szCs w:val="24"/>
        </w:rPr>
        <w:br/>
      </w:r>
      <w:r w:rsidRPr="00D73ADD">
        <w:rPr>
          <w:rFonts w:ascii="Times New Roman" w:hAnsi="Times New Roman"/>
          <w:sz w:val="24"/>
          <w:szCs w:val="24"/>
        </w:rPr>
        <w:t>o fakcie który może powodować wzrost ryzyka wystąpienia szkody, to w razie wystąpienia szkody zakład ubezpieczeń jest dalej zobowiązany do świadczenia odszkodowania jeżeli nie dopełnienie tego obowiązku nie było działaniem umyślnym reprezentantów ubezpieczającego.</w:t>
      </w:r>
    </w:p>
    <w:p w:rsidR="005E33B2" w:rsidRDefault="005E33B2"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dodatkowych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zastrzeżeniem pozostałych, nie zmienionych niniejszą klauzulą, postanowień umowy ubezpieczenia określonych we wniosku o ubezpieczenie oraz ogólnych warunków ubezpieczenia, uzgadnia się, </w:t>
      </w:r>
      <w:r>
        <w:rPr>
          <w:rFonts w:ascii="Times New Roman" w:hAnsi="Times New Roman"/>
          <w:sz w:val="24"/>
          <w:szCs w:val="24"/>
        </w:rPr>
        <w:br/>
      </w:r>
      <w:r w:rsidRPr="00D73ADD">
        <w:rPr>
          <w:rFonts w:ascii="Times New Roman" w:hAnsi="Times New Roman"/>
          <w:sz w:val="24"/>
          <w:szCs w:val="24"/>
        </w:rPr>
        <w:t>że ochrona ubezpieczeniowa obejmuje koszty dodatkowe bezpośrednio związane z zaistniałą szkodą (bez konieczności uzyskania wcześniejszej akceptacji Ubezpieczyciela) w tym m.in.: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1. koszty akcji ratowniczej,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koszty wynikające ze zniszczenia i utraty mienia, powstałe na skutek akcji ratowniczej,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3. koszty - nawet bezskutecznego - ratowania i zabezpieczenia mienia przed szkodą lub zmniejszenia rozmiaru szkody (w tym koszty dozoru),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4. koszty restytucji mienia przez wyspecjalizowane podmioty,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5. koszty uprzątnięcia pozostałości po szkodzie, w tym koszty rozbiórki i demontażu, koszty transportu, utylizacji itp.,</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6. koszty powołania ekspertów, rzeczoznawców i konsultantów,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7. koszty odtworzenia i przygotowania dokumentacji przedsiębiorstwa,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zwiększone koszty odtworzenia urządzeń wykonanych na specjalne zamówienie, powstałe w wyniku trudności z ich ponownym zakupem, odbudową, naprawą lub montażem oraz wszelkie inne wydatki tego typu,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koszty napraw ekspresowych - wszelkie uzasadnione i udokumentowane koszty pracy w godzinach nadliczbowych, nocnych i w dniach wolnych od pracy oraz koszty frachtu ekspresowego (z włączeniem frachtu lotniczego).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 xml:space="preserve">Limit odpowiedzialności (dodatkowa suma ubezpieczenia ponad limity gwarantowane przez OWU </w:t>
      </w:r>
      <w:r>
        <w:rPr>
          <w:rFonts w:ascii="Times New Roman" w:hAnsi="Times New Roman"/>
          <w:sz w:val="24"/>
          <w:szCs w:val="24"/>
        </w:rPr>
        <w:br/>
      </w:r>
      <w:r w:rsidRPr="00D73ADD">
        <w:rPr>
          <w:rFonts w:ascii="Times New Roman" w:hAnsi="Times New Roman"/>
          <w:sz w:val="24"/>
          <w:szCs w:val="24"/>
        </w:rPr>
        <w:t>oraz sumy ubezpieczenia w poszczególnych ryzykach): 1.000.000 PLN na jedno i wszystkie zdarzenia w okresie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zmiany wartości ubezpieczeniowej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Ubezpieczający / Ubezpieczony zastrzega sobie możliwość zmiany rodzaju wartości ubezpieczeniowej budynków i budowli w trakcie okresu ubezpieczenia na odtworzeniową nową, przy czym wartość odtworzeniową nowa zostanie ustalona jako iloczyn powierzchni (lub kubatury) budynku/budowli </w:t>
      </w:r>
      <w:r>
        <w:rPr>
          <w:rFonts w:ascii="Times New Roman" w:hAnsi="Times New Roman"/>
          <w:sz w:val="24"/>
          <w:szCs w:val="24"/>
        </w:rPr>
        <w:br/>
      </w:r>
      <w:r w:rsidRPr="00D73ADD">
        <w:rPr>
          <w:rFonts w:ascii="Times New Roman" w:hAnsi="Times New Roman"/>
          <w:sz w:val="24"/>
          <w:szCs w:val="24"/>
        </w:rPr>
        <w:t xml:space="preserve">i rynkowej ceny budowy metra kwadratowego lub jednego metra sześciennego budynku/budowli </w:t>
      </w:r>
      <w:r>
        <w:rPr>
          <w:rFonts w:ascii="Times New Roman" w:hAnsi="Times New Roman"/>
          <w:sz w:val="24"/>
          <w:szCs w:val="24"/>
        </w:rPr>
        <w:br/>
      </w:r>
      <w:r w:rsidRPr="00D73ADD">
        <w:rPr>
          <w:rFonts w:ascii="Times New Roman" w:hAnsi="Times New Roman"/>
          <w:sz w:val="24"/>
          <w:szCs w:val="24"/>
        </w:rPr>
        <w:t>o analogicznych parametrach i przeznaczeniu, obowiązującej na danym terenie. Składka z tytułu zwiększenia sumy ubezpieczenia zostanie wyliczona pro rata temporis z zachowaniem tej samej stawki. Po zmianie rodzaju wartości wypłata ewentualnego odszkodowania nastąpi wg wartości odtworzeniowej nowej zdefiniowanej w niniejszej klauzuli.</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rezygnacji z regresu do podmiotów powiązanych kapitałowo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odstępuje </w:t>
      </w:r>
      <w:r>
        <w:rPr>
          <w:rFonts w:ascii="Times New Roman" w:hAnsi="Times New Roman"/>
          <w:sz w:val="24"/>
          <w:szCs w:val="24"/>
        </w:rPr>
        <w:br/>
      </w:r>
      <w:r w:rsidRPr="00D73ADD">
        <w:rPr>
          <w:rFonts w:ascii="Times New Roman" w:hAnsi="Times New Roman"/>
          <w:sz w:val="24"/>
          <w:szCs w:val="24"/>
        </w:rPr>
        <w:t>od przysługującego mu prawa regresu w odniesieniu do: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1) spółek zależnych i powiązanych kapitałowo bezpośrednio z Ubezpieczającym;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spółek wchodzących w skład tej samej grupy kapitałowej co Ubezpieczający (np. holdingu).</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rezygnacji z regresu do pracowników Ubezpieczającego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odstępuje </w:t>
      </w:r>
      <w:r>
        <w:rPr>
          <w:rFonts w:ascii="Times New Roman" w:hAnsi="Times New Roman"/>
          <w:sz w:val="24"/>
          <w:szCs w:val="24"/>
        </w:rPr>
        <w:br/>
      </w:r>
      <w:r w:rsidRPr="00D73ADD">
        <w:rPr>
          <w:rFonts w:ascii="Times New Roman" w:hAnsi="Times New Roman"/>
          <w:sz w:val="24"/>
          <w:szCs w:val="24"/>
        </w:rPr>
        <w:t>od przysługującego mu prawa regresu w odniesieniu do:</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osób fizycznych zatrudnionych przez Ubezpieczającego na podstawie umowy o pracę, umowy zlecenia, umowy o dzieło lub innej umowy cywilnoprawnej</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osób fizycznych prowadzących działalność gospodarczą wyłącznie na rzecz Ubezpieczającego (samozatrudnienie)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osób za które ustawową odpowiedzialność ponosi Ubezpieczający/ Ubezpieczony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Niniejsza klauzula nie ma zastosowania w przypadku szkód wyrządzonych umyślnie przez ww. osoby.</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przeniesienia mienia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zadeklarowane przez Ubezpieczającego mienie objęte jest ochroną ubezpieczeniową również w przypadku tymczasowego </w:t>
      </w:r>
      <w:r>
        <w:rPr>
          <w:rFonts w:ascii="Times New Roman" w:hAnsi="Times New Roman"/>
          <w:sz w:val="24"/>
          <w:szCs w:val="24"/>
        </w:rPr>
        <w:br/>
      </w:r>
      <w:r w:rsidRPr="00D73ADD">
        <w:rPr>
          <w:rFonts w:ascii="Times New Roman" w:hAnsi="Times New Roman"/>
          <w:sz w:val="24"/>
          <w:szCs w:val="24"/>
        </w:rPr>
        <w:t xml:space="preserve">lub stałego przeniesienia pomiędzy należącymi do Ubezpieczonego lokalizacjami przyjętymi </w:t>
      </w:r>
      <w:r>
        <w:rPr>
          <w:rFonts w:ascii="Times New Roman" w:hAnsi="Times New Roman"/>
          <w:sz w:val="24"/>
          <w:szCs w:val="24"/>
        </w:rPr>
        <w:br/>
      </w:r>
      <w:r w:rsidRPr="00D73ADD">
        <w:rPr>
          <w:rFonts w:ascii="Times New Roman" w:hAnsi="Times New Roman"/>
          <w:sz w:val="24"/>
          <w:szCs w:val="24"/>
        </w:rPr>
        <w:t xml:space="preserve">do ubezpieczenia, jednak z zastrzeżeniem, że łączna wartość mienia przeniesionego do danej lokalizacji nie może przekroczyć 2 000 000,00 zł. Ochrona ubezpieczeniowa nie obejmuje szkód powstałych </w:t>
      </w:r>
      <w:r>
        <w:rPr>
          <w:rFonts w:ascii="Times New Roman" w:hAnsi="Times New Roman"/>
          <w:sz w:val="24"/>
          <w:szCs w:val="24"/>
        </w:rPr>
        <w:br/>
      </w:r>
      <w:r w:rsidRPr="00D73ADD">
        <w:rPr>
          <w:rFonts w:ascii="Times New Roman" w:hAnsi="Times New Roman"/>
          <w:sz w:val="24"/>
          <w:szCs w:val="24"/>
        </w:rPr>
        <w:t xml:space="preserve">w czasie transportu, załadunku i rozładunku, prac demontażowych i montażowych oraz w czasie prób </w:t>
      </w:r>
      <w:r>
        <w:rPr>
          <w:rFonts w:ascii="Times New Roman" w:hAnsi="Times New Roman"/>
          <w:sz w:val="24"/>
          <w:szCs w:val="24"/>
        </w:rPr>
        <w:br/>
      </w:r>
      <w:r w:rsidRPr="00D73ADD">
        <w:rPr>
          <w:rFonts w:ascii="Times New Roman" w:hAnsi="Times New Roman"/>
          <w:sz w:val="24"/>
          <w:szCs w:val="24"/>
        </w:rPr>
        <w:t xml:space="preserve">i testów. W przypadku wystąpienia szkody, na Ubezpieczonym ciąży obowiązek udokumentowania faktu </w:t>
      </w:r>
      <w:r w:rsidRPr="00D73ADD">
        <w:rPr>
          <w:rFonts w:ascii="Times New Roman" w:hAnsi="Times New Roman"/>
          <w:sz w:val="24"/>
          <w:szCs w:val="24"/>
        </w:rPr>
        <w:lastRenderedPageBreak/>
        <w:t xml:space="preserve">przeniesienia mienia do innej lokalizacji wraz z określeniem jego sumy ubezpieczenia oraz daty zmiany miejsca ubezpieczenia. </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mienia podczas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ochroną ubezpieczeniową mienie stanowiące własność Ubezpieczonego podczas transportu drogowego pomiędzy lokalizacjami na terenie RP, w których Ubezpieczony prowadzi działalność gospodarczą, realizowanego przez Ubezpieczonego lub jego pracowników, środkami transportu stanowiącymi własność Ubezpieczonego lub znajdującym się w jego posiadaniu </w:t>
      </w:r>
      <w:r>
        <w:rPr>
          <w:rFonts w:ascii="Times New Roman" w:hAnsi="Times New Roman"/>
          <w:sz w:val="24"/>
          <w:szCs w:val="24"/>
        </w:rPr>
        <w:br/>
      </w:r>
      <w:r w:rsidRPr="00D73ADD">
        <w:rPr>
          <w:rFonts w:ascii="Times New Roman" w:hAnsi="Times New Roman"/>
          <w:sz w:val="24"/>
          <w:szCs w:val="24"/>
        </w:rPr>
        <w:t>na podstawie tytułu prawnego.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Zakres ubezpieczenia obejmuje szkody w przewożonym mieniu powstałe wskutek następujących zdarzeń losowych: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pożar, wybuch, uderzenie pioruna, upadek statku powietrznego, deszcz nawalny, dym, grad, huk ponaddźwiękowy, huragan, lawina, osuwanie się ziemi, sadza, zapadanie się ziemi, upadek przedmiotów na ubezpieczone mienie, trzęsienie ziemi, wypadek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rabunek,</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kradzież z włamaniem do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kradzież mienia z jednoczesnym zaborem środka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3. Szkody powstałe wskutek kradzieży z włamaniem do środka transportu oraz kradzieży mienia </w:t>
      </w:r>
      <w:r>
        <w:rPr>
          <w:rFonts w:ascii="Times New Roman" w:hAnsi="Times New Roman"/>
          <w:sz w:val="24"/>
          <w:szCs w:val="24"/>
        </w:rPr>
        <w:br/>
      </w:r>
      <w:r w:rsidRPr="00D73ADD">
        <w:rPr>
          <w:rFonts w:ascii="Times New Roman" w:hAnsi="Times New Roman"/>
          <w:sz w:val="24"/>
          <w:szCs w:val="24"/>
        </w:rPr>
        <w:t>z jednoczesnym zaborem środka transportu objęte są ochroną wyłącznie w sytuacji, gdy pozostawiony bez dozoru pojazd został zamknięty na zamki fabryczne, miał uruchomione wszelkie fabryczne zabezpieczenia przeciwkradzieżowe oraz był zaparkowany na terenie zamkniętym, ogrodzonym, całodobowo dozorowanym oraz oświetlonym w porze nocnej.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4.Okres ubezpieczenia rozpoczyna się z chwilą rozpoczęcia załadunku mienia w miejscu nadania </w:t>
      </w:r>
      <w:r>
        <w:rPr>
          <w:rFonts w:ascii="Times New Roman" w:hAnsi="Times New Roman"/>
          <w:sz w:val="24"/>
          <w:szCs w:val="24"/>
        </w:rPr>
        <w:br/>
      </w:r>
      <w:r w:rsidRPr="00D73ADD">
        <w:rPr>
          <w:rFonts w:ascii="Times New Roman" w:hAnsi="Times New Roman"/>
          <w:sz w:val="24"/>
          <w:szCs w:val="24"/>
        </w:rPr>
        <w:t xml:space="preserve">i kończy się z chwilą zakończenia wyładunku mienia w miejscu przeznaczenia, pod warunkiem, </w:t>
      </w:r>
      <w:r>
        <w:rPr>
          <w:rFonts w:ascii="Times New Roman" w:hAnsi="Times New Roman"/>
          <w:sz w:val="24"/>
          <w:szCs w:val="24"/>
        </w:rPr>
        <w:br/>
      </w:r>
      <w:r w:rsidRPr="00D73ADD">
        <w:rPr>
          <w:rFonts w:ascii="Times New Roman" w:hAnsi="Times New Roman"/>
          <w:sz w:val="24"/>
          <w:szCs w:val="24"/>
        </w:rPr>
        <w:t>że rozpoczęcie czynności załadunku oraz wyładunku ma miejsce w czasie nie dłuższym niż 6 godzin przed rozpoczęciem oraz po zakończeniu przewozu. Szkody powstałe w wyniku zdarzeń losowych określonych w pkt. 2 niniejszej klauzuli mające miejsce podczas załadunku i rozładunku mienia objęte są również zakresem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5. Ubezpieczenie w żadnym wypadku nie obejmuje szkód powstałych w czasie transportów realizowanych przez osoby trzecie, w tym na podstawie umów cywilnoprawnych, w szczególności umów przewozu, spedycji lub umów o świadczenie usług logistycznych.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6. Niniejszą klauzulą nie są objęte następujące transporty: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środków obrotowych oraz mienia osób trzecich przyjętego w celu wykonania usługi </w:t>
      </w:r>
      <w:r>
        <w:rPr>
          <w:rFonts w:ascii="Times New Roman" w:hAnsi="Times New Roman"/>
          <w:sz w:val="24"/>
          <w:szCs w:val="24"/>
        </w:rPr>
        <w:br/>
      </w:r>
      <w:r w:rsidRPr="00D73ADD">
        <w:rPr>
          <w:rFonts w:ascii="Times New Roman" w:hAnsi="Times New Roman"/>
          <w:sz w:val="24"/>
          <w:szCs w:val="24"/>
        </w:rPr>
        <w:t>lub sprzedaży,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wartości pieniężnych,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akt, dokumentacji, wzorów i prototypów,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żywych zwierząt</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5) dzieł sztuki oraz mienia o charakterze kolekcjonerskim lub zabytkowym</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6) mienia pracowniczego,</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7) pojazdów i maszyn podczas ich holowania,</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8) urządzeń zamontowanych na stałe na środku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7. Ponadto z ochrony ubezpieczeniowej w ramach niniejszej klauzuli wyłączone są szkody: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lastRenderedPageBreak/>
        <w:t xml:space="preserve">1) powstałe wskutek niewłaściwego załadowania, umocowania lub rozmieszczenia mienia </w:t>
      </w:r>
      <w:r>
        <w:rPr>
          <w:rFonts w:ascii="Times New Roman" w:hAnsi="Times New Roman"/>
          <w:sz w:val="24"/>
          <w:szCs w:val="24"/>
        </w:rPr>
        <w:br/>
      </w:r>
      <w:r w:rsidRPr="00D73ADD">
        <w:rPr>
          <w:rFonts w:ascii="Times New Roman" w:hAnsi="Times New Roman"/>
          <w:sz w:val="24"/>
          <w:szCs w:val="24"/>
        </w:rPr>
        <w:t>na/w środku transportu, niewłaściwego oznakowania, opakowania niezgodnego z obowiązującymi normami lub zwyczajami bądź jego braku, obciążenia środka transportu ponad dopuszczalną ładowność;</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spowodowane użyciem środka transportu nieprzystosowanego do przewozu określonego rodzaju mienia lub spowodowane złym stanem technicznym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spowodowane użyciem niesprawnych lub niewłaściwych maszyn lub urządzeń </w:t>
      </w:r>
      <w:r>
        <w:rPr>
          <w:rFonts w:ascii="Times New Roman" w:hAnsi="Times New Roman"/>
          <w:sz w:val="24"/>
          <w:szCs w:val="24"/>
        </w:rPr>
        <w:br/>
      </w:r>
      <w:r w:rsidRPr="00D73ADD">
        <w:rPr>
          <w:rFonts w:ascii="Times New Roman" w:hAnsi="Times New Roman"/>
          <w:sz w:val="24"/>
          <w:szCs w:val="24"/>
        </w:rPr>
        <w:t>do wykonywania czynności załadunkowych i wyładunkowych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4) powstałe wskutek wady ukrytej przewożonego mienia, naturalnego ubytku wagi, ilości </w:t>
      </w:r>
      <w:r>
        <w:rPr>
          <w:rFonts w:ascii="Times New Roman" w:hAnsi="Times New Roman"/>
          <w:sz w:val="24"/>
          <w:szCs w:val="24"/>
        </w:rPr>
        <w:br/>
      </w:r>
      <w:r w:rsidRPr="00D73ADD">
        <w:rPr>
          <w:rFonts w:ascii="Times New Roman" w:hAnsi="Times New Roman"/>
          <w:sz w:val="24"/>
          <w:szCs w:val="24"/>
        </w:rPr>
        <w:t>lub objętości, naturalnego zużycia mienia;</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5) powstałe wskutek nietrzeźwości, odurzenia narkotycznego lub farmakologicznego kierowcy lub osób dokonujących rozładunku i załadunku,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6) powstałe podczas przewozu mienia w ramach transportu dokonywanego w obrębie tej samej nieruchomości.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8. Limit odpowiedzialności: 100 000,00 zł na jeden i wszystkie wypadki ubezpieczeniowe w okresie ubezpieczenia</w:t>
      </w:r>
    </w:p>
    <w:p w:rsidR="005E33B2" w:rsidRDefault="005E33B2" w:rsidP="004F2724">
      <w:pPr>
        <w:spacing w:after="0"/>
        <w:jc w:val="both"/>
        <w:rPr>
          <w:rFonts w:ascii="Times New Roman" w:hAnsi="Times New Roman"/>
          <w:sz w:val="24"/>
          <w:szCs w:val="24"/>
        </w:rPr>
      </w:pPr>
      <w:r w:rsidRPr="00FF0047">
        <w:rPr>
          <w:rFonts w:ascii="Times New Roman" w:hAnsi="Times New Roman"/>
          <w:sz w:val="24"/>
          <w:szCs w:val="24"/>
        </w:rPr>
        <w:t>9. Franszyza redukcyjna: 1.000,00 zł w każdej szkodzie</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odbudowy w innej lokalizacji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Ubezpieczający ma prawo podjąć decyzję o przywróceniu mienia do stanu sprzed szkody w dowolnym miejscu na terenie RP, </w:t>
      </w:r>
      <w:r>
        <w:rPr>
          <w:rFonts w:ascii="Times New Roman" w:hAnsi="Times New Roman"/>
          <w:sz w:val="24"/>
          <w:szCs w:val="24"/>
        </w:rPr>
        <w:br/>
      </w:r>
      <w:r w:rsidRPr="00D73ADD">
        <w:rPr>
          <w:rFonts w:ascii="Times New Roman" w:hAnsi="Times New Roman"/>
          <w:sz w:val="24"/>
          <w:szCs w:val="24"/>
        </w:rPr>
        <w:t xml:space="preserve">z zastrzeżeniem, że wysokość odszkodowania w żadnym wypadku nie przekroczy kwoty, którą TU zobowiązane byłoby wypłacić, gdyby uszkodzone bądź zniszczone mienie było przywrócone </w:t>
      </w:r>
      <w:r>
        <w:rPr>
          <w:rFonts w:ascii="Times New Roman" w:hAnsi="Times New Roman"/>
          <w:sz w:val="24"/>
          <w:szCs w:val="24"/>
        </w:rPr>
        <w:br/>
      </w:r>
      <w:r w:rsidRPr="00D73ADD">
        <w:rPr>
          <w:rFonts w:ascii="Times New Roman" w:hAnsi="Times New Roman"/>
          <w:sz w:val="24"/>
          <w:szCs w:val="24"/>
        </w:rPr>
        <w:t xml:space="preserve">do poprzedniego stanu w dotychczasowej lokalizacji.   </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postępowania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zobowiązany jest prowadzić postępowanie zmierzające do wyjaśnienia okoliczności związanych ze szkodą (np. ustalenie przebiegu zdarzenia, ustalenie osoby sprawcy) i wypłacić należne odszkodowanie zgodnie z ogólnie przyjętymi zasadami, bez konieczności oczekiwania na prawomocne postanowienie kończące postępowanie w sprawie dotyczącej szkody.</w:t>
      </w:r>
      <w:r>
        <w:rPr>
          <w:rFonts w:ascii="Times New Roman" w:hAnsi="Times New Roman"/>
          <w:sz w:val="24"/>
          <w:szCs w:val="24"/>
        </w:rPr>
        <w:t xml:space="preserve"> </w:t>
      </w: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likwidacji szkody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zastrzeżeniem pozostałych, niezmienionych niniejszą klauzulą, postanowień umowy ubezpieczenia strony umowy uzgodniły, iż Ubezpieczyciel nie może powoływać się na fakt braku pozostawienia bez zmian miejsca szkody, jeżeli nie rozpoczął likwidacji szkody w ciągu 3 dni roboczych od momentu otrzymania zawiadomienia o szkodzie. Ubezpieczający / Ubezpieczony może niezwłocznie przystąpić do likwidacji szkody, jeżeli jest to niezbędne w celu przywrócenia lub utrzymania dostaw energii elektrycznej oraz serwerów.</w:t>
      </w:r>
      <w:r>
        <w:rPr>
          <w:rFonts w:ascii="Times New Roman" w:hAnsi="Times New Roman"/>
          <w:sz w:val="24"/>
          <w:szCs w:val="24"/>
        </w:rPr>
        <w:t xml:space="preserve"> </w:t>
      </w: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szybkiej likwidacji szkód w sprzęcie elektronicznym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awarii sprzętu elektronicznego, którego przywrócenie do pracy w ciągu 24 godzin jest konieczne dla normalnego funkcjonowania firmy, Ubezpieczający powiadamiając o szkodzie Ubezpieczyciela może przystąpić </w:t>
      </w:r>
      <w:r>
        <w:rPr>
          <w:rFonts w:ascii="Times New Roman" w:hAnsi="Times New Roman"/>
          <w:sz w:val="24"/>
          <w:szCs w:val="24"/>
        </w:rPr>
        <w:br/>
      </w:r>
      <w:r w:rsidRPr="00D73ADD">
        <w:rPr>
          <w:rFonts w:ascii="Times New Roman" w:hAnsi="Times New Roman"/>
          <w:sz w:val="24"/>
          <w:szCs w:val="24"/>
        </w:rPr>
        <w:lastRenderedPageBreak/>
        <w:t>do samodzielnej likwidacji szkody, sporządzając stosowny protokół opisujący rozmiar i przyczynę zdarzenia. Równocześnie Ubezpieczający przedstawi wyliczenie wartości szkody lub fakturę za naprawę, które będą podstawą obliczenia odszkodowania przez Ubezpieczyciela. W przypadku awarii sprzętu elektronicznego, którego przywrócenie do pracy nie jest natychmiast konieczne, Ubezpieczający po zgłoszeniu szkody może przystąpić do samodzielnej likwidacji szkody na powyższych zasadach jedynie w przypadku, gdy Ubezpieczyciel nie dokona oględzin przedmiotu dotkniętego szkodą w ciągu 3 dni od daty otrzymania zgłoszenia.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i taryf</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doubezpieczenia, podwyższania lub uzupełniania sumy ubezpieczenia w okresie ubezpieczenia określonym w bieżącej umowie ubezpieczenia, będą mieć zastosowanie warunki umowy oraz stawki ubezpieczeniowe obowiązujące w dniu zawarcia umowy ubezpieczenia. Postanowienia niniejszej klauzuli nie mają zastosowania do przypadku uregulowanego w art. 816 kodeksu cywilnego.</w:t>
      </w: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konsolidacyjna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W przypadku przeniesienia własności majątku pomiędzy jednostkami organizacyjnymi                 </w:t>
      </w:r>
      <w:r>
        <w:rPr>
          <w:rFonts w:ascii="Times New Roman" w:hAnsi="Times New Roman"/>
          <w:sz w:val="24"/>
          <w:szCs w:val="24"/>
        </w:rPr>
        <w:br/>
      </w:r>
      <w:r w:rsidRPr="00D73ADD">
        <w:rPr>
          <w:rFonts w:ascii="Times New Roman" w:hAnsi="Times New Roman"/>
          <w:sz w:val="24"/>
          <w:szCs w:val="24"/>
        </w:rPr>
        <w:t>i instytucjami kultury Powiatu Ostrowieckiego lub w ramach konsolidacji jednostek należących do ww. grupy lub też innych powstałych na ich bazie ochrona ubezpieczeniowa nie wygasa, lecz jest kontynuowana na dotychczasowych warunkach.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przezornej sumy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 zmienionych niniejszą klauzulą postanowień ogólnych warunków ubezpieczenia i innych postanowień umowy ubezpieczenia, ustala się że ochrona ubezpieczeniowa obejmuje tzw. przezorną sumę ubezpieczenia, którą rozdziela się na sumy ubezpieczenia tych kategorii ubezpieczanego mienia, w przypadku których sumy ubezpieczenia określone dla tych pozycji nie wystarczą (np.: ze względu na niedoubezpieczenie lub wysokie koszty związane z uniknięciem lub ograniczeniem szkody, wzrost cen materiałów budowlanych w przeciągu okresu ubezpieczenia, system wypłaty odszkodowania przyjęty w OWU) na odtworzenie zniszczonego majątku. Przezorna suma ubezpieczenia nie ma zastosowania do przedmiotów ubezpieczenia obejmowanych ochroną w systemie na pierwsze ryzyko.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na jedno i wszystkie zdarzenia w okresie ubezpieczenia wynosi: 1.000.000 złotych.</w:t>
      </w:r>
      <w:r w:rsidR="009F11E4">
        <w:rPr>
          <w:rFonts w:ascii="Times New Roman" w:hAnsi="Times New Roman"/>
          <w:sz w:val="24"/>
          <w:szCs w:val="24"/>
        </w:rPr>
        <w:br/>
      </w: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wyrównania sum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 zmienionych niniejszą klauzulą postanowień ogólnych warunków ubezpieczenia i innych postanowień umowy ubezpieczenia, ustala się że w przypadku, gdy suma ubezpieczenia którejkolwiek z kategorii ubezpieczanego mienia lub nakładów adaptacyjnych w dniu szkody jest wyższa niż ich wartość (nadubezpieczenie), 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niedoubezpieczenie lub w odniesieniu do których suma ubezpieczenia jest niewystarczająca ze względu na poniesione koszty związane z uniknięciem lub ograniczeniem rozmiaru szkody. Wyrównanie sum ubezpieczenia dotyczy wyłącznie przedmiotów ubezpieczenia obejmowanych ochroną w systemie sum stałych w ramach pojedynczego miejsca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ewakuacji w sytuacji zagrożenia aktem terroryzmu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ochroną wymienione poniżej koszty ewakuacji poniesione przez Ubezpieczającego w wyniku bezpośredniego zagrożenia aktem terroryzmu, pod warunkiem, że zagrożenie będzie wydawało się realne. Koszty ewakuacji objęte są ochroną wyłącznie w przypadku, gdy przeprowadzenie ewakuacji zostało zlecone przez służby porządkowe takie jak: Policja, Straż Pożarna lub Straż Miejska a ewakuacja odbywała się pod dozorem ww. służb.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Za koszty ewakuacji uważa się wyłącznie wymienione poniżej, poniesione i udokumentowane koszty: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transportu pacjentów,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pobytu pacjentów w zastępczych placówkach w okresie nie dłuższym niż jedna doba, </w:t>
      </w:r>
      <w:r>
        <w:rPr>
          <w:rFonts w:ascii="Times New Roman" w:hAnsi="Times New Roman"/>
          <w:sz w:val="24"/>
          <w:szCs w:val="24"/>
        </w:rPr>
        <w:br/>
      </w:r>
      <w:r w:rsidRPr="00D73ADD">
        <w:rPr>
          <w:rFonts w:ascii="Times New Roman" w:hAnsi="Times New Roman"/>
          <w:sz w:val="24"/>
          <w:szCs w:val="24"/>
        </w:rPr>
        <w:t>z zastrzeżeniem, że koszty pobytu jednego pacjenta nie przekraczają 100 zł za dobę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transportu sprzętu medycznego,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przechowywania ewakuowanego sprzętu medycznego w czasie koniecznym dla czynności ewakuacyjnych z uwzględnieniem kosztów dozoru ww. sprzętu przez wyspecjalizowane firmy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50 000 zł na jedno i wszystkie zdarzenia w okresie ubezpieczenia</w:t>
      </w:r>
    </w:p>
    <w:p w:rsidR="005E33B2" w:rsidRDefault="005E33B2" w:rsidP="004F2724">
      <w:pPr>
        <w:spacing w:after="0"/>
        <w:jc w:val="both"/>
        <w:rPr>
          <w:rFonts w:ascii="Times New Roman" w:hAnsi="Times New Roman"/>
          <w:sz w:val="24"/>
          <w:szCs w:val="24"/>
        </w:rPr>
      </w:pP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ewakuacji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ochroną wymienione poniżej koszty ewakuacji poniesione przez Ubezpieczającego w wyniku bezpośredniego zagrożenia zdarzeniem losowym objętym ochroną w ramach obowiązującej umowy ubezpieczenia mienia, pod warunkiem, że zagrożenie będzie wydawało się realne. Koszty ewakuacji objęte są ochroną wyłącznie w przypadku, gdy przeprowadzenie ewakuacji zostało zlecone przez służby porządkowe takie jak: Policja, Straż Pożarna lub Straż Miejska a ewakuacja odbywała się pod dozorem ww. służb.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Za koszty ewakuacji uważa się wyłącznie wymienione poniżej, poniesione i udokumentowane koszty: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1)transportu pacjentów,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2)pobytu pacjentów w zastępczych placówkach w okresie nie dłuższym niż jedna doba, </w:t>
      </w:r>
      <w:r>
        <w:rPr>
          <w:rFonts w:ascii="Times New Roman" w:hAnsi="Times New Roman"/>
          <w:sz w:val="24"/>
          <w:szCs w:val="24"/>
        </w:rPr>
        <w:br/>
      </w:r>
      <w:r w:rsidRPr="00D73ADD">
        <w:rPr>
          <w:rFonts w:ascii="Times New Roman" w:hAnsi="Times New Roman"/>
          <w:sz w:val="24"/>
          <w:szCs w:val="24"/>
        </w:rPr>
        <w:t>z zastrzeżeniem, że koszty pobytu jednego pacjenta nie przekraczają 100 zł za dobę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3)transportu sprzętu medycznego,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4)przechowywania ewakuowanego sprzętu medycznego w czasie koniecznym dla czynności ewakuacyjnych z uwzględnieniem kosztów dozoru ww. sprzętu przez wyspecjalizowane firmy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50 000 zł na jedno i wszystkie zdarzenia w okresie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mienia przewożonego w pojazdach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Ubezpieczyciel ponosi odpowiedzialność za szkody powstałe wskutek kradzieży z włamaniem </w:t>
      </w:r>
      <w:r>
        <w:rPr>
          <w:rFonts w:ascii="Times New Roman" w:hAnsi="Times New Roman"/>
          <w:sz w:val="24"/>
          <w:szCs w:val="24"/>
        </w:rPr>
        <w:br/>
      </w:r>
      <w:r w:rsidRPr="00D73ADD">
        <w:rPr>
          <w:rFonts w:ascii="Times New Roman" w:hAnsi="Times New Roman"/>
          <w:sz w:val="24"/>
          <w:szCs w:val="24"/>
        </w:rPr>
        <w:t>z pojazdu lub kradzieży pojazdu wraz ze sprzętem pod warunkiem, że pojazd ten posiada twardy dach (jednolitą sztywną konstrukcję), a w chwili kradzieży był prawidłowo zamknięty na klucz (nie dotyczy sprzętu znajdującego się na pojeździe). Wymóg dotyczący zabezpieczenia pojazdu nie jest stosowany w trakcie pracy jak również w trakcie ruchu pojazdu. W pozostałych przypadkach, w sytuacji gdy pojazd nie był zabezpieczony zgodnie z powyższymi wymogami, każdy zabór mienia będzie potraktowany, jako kradzież zwykła lub rabunek. W przypadku kradzieży zwykłej obowiązywać będzie limit ustanowiony na to ryzyko.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 xml:space="preserve">Ochrona ubezpieczeniowa w zakresie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 xml:space="preserve"> kradzieżowych funkcjonuje przez całą dobę bez wymogu pozostawiania pojazdu na parkingu strzeżonym.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wypłaty zaliczki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 zmienionych niniejszą klauzulą postanowień ogólnych warunków ubezpieczenia i innych postanowień umowy ubezpieczenia strony postanowiły, że w razie wystąpienia szkody objętej ochroną ubezpieczeniową na podstawie zawartej umowy Ubezpieczyciel wypłaci Ubezpieczonemu zaliczkę w wysokości 50% szacowanej wysokości odszkodowania. Zaliczka zostanie wypłacona w terminie 14 dni od daty złożenia przez Ubezpieczonego wniosku wraz ze wstępnym kosztorysem. Warunkiem wypłaty zaliczki jest stwierdzenie przesłanek potwierdzających odpowiedzialność Ubezpieczyciela za przedmiotową szkodę.</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dla nowych jednostek</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potwierdza, że w przypadku włączenia jednostek organizacyjnych i instytucji kultury Powiatu Ostrowieckiego w okresie trwania umowy ubezpieczenia jakiejkolwiek nowej jednostki, będzie ona mogła zawierać polisy ubezpieczenia w zakresie i na warunkach merytorycznych i finansowych określonych w umowie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Definicja opadów śniegu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Ochroną ubezpieczeniową objęte zostają szkody wynikłe z obfitych opadów śniegu, które spowodują uszkodzenie konstrukcji budynku od ciężaru śniegu lub zalanie wynikłe z szybkiego topnienia mas śniegu; zakresem ochrony objęte jest również zawalenie się pod wpływem ciężaru śniegu mienia sąsiedniego na mienie ubezpieczone.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uderzenia pojazdu własnego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zakres ubezpieczenia zostaje rozszerzony o szkody powstałe wskutek uderzenia pojazdu lądowego będącego własnością </w:t>
      </w:r>
      <w:r>
        <w:rPr>
          <w:rFonts w:ascii="Times New Roman" w:hAnsi="Times New Roman"/>
          <w:sz w:val="24"/>
          <w:szCs w:val="24"/>
        </w:rPr>
        <w:br/>
      </w:r>
      <w:r w:rsidRPr="00D73ADD">
        <w:rPr>
          <w:rFonts w:ascii="Times New Roman" w:hAnsi="Times New Roman"/>
          <w:sz w:val="24"/>
          <w:szCs w:val="24"/>
        </w:rPr>
        <w:t>lub znajdującego się pod kontrolą Ubezpieczającego/Ubezpieczonego w ubezpieczone mienie</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zwiększenia limitu odpowiedzialności na szkody powstałe w wyniku przepięcia i przetężenia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odpowiedzialność TU S.A. za szkody powstałe wskutek przepięcia lub przetężenia zostaje zwiększona do kwoty 500 000,00 zł  LUB 200 000 na jedno i wszystkie zdarzenia w okresie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pośredniego uderzenia pioruna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Ochrona ubezpieczeniowa obejmuje szkody powstałe w mieniu będącym przedmiotem ubezpieczenia w wyniku pośredniego uderzenia pioruna, za które uważa się pośrednie oddziaływanie wyładowania </w:t>
      </w:r>
      <w:r w:rsidRPr="00D73ADD">
        <w:rPr>
          <w:rFonts w:ascii="Times New Roman" w:hAnsi="Times New Roman"/>
          <w:sz w:val="24"/>
          <w:szCs w:val="24"/>
        </w:rPr>
        <w:lastRenderedPageBreak/>
        <w:t>atmosferycznego na przedmiot ubezpieczenia, powodujące uszkodzenie bądź zniszczenie tego przedmiotu wskutek indukcji prądu elektrycznego wywołanej wyładowaniem atmosferycznym w bezpośredniej bliskości ubezpieczonego mienia. Za szkody spowodowane pośrednim uderzeniem pioruna uważa się również szkody powstałe w wyniku nagłego wzrostu napięcia w sieci elektrycznej spowodowanego wyładowaniami atmosferycznymi.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2. TU obejmuje ochroną szkody powstałe w wyniku pośredniego uderzenia pioruna pod warunkiem, że: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a) w ubezpieczonej lokalizacji istnieje sprawnie działający zgodny z obowiązującym prawem system ochrony odgromowej,</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b) instalacje wewnątrz ubezpieczonej lokalizacji są uziemione,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c) na wszystkich przewodach elektrycznych bądź teletechnicznych są zainstalowane urządzenia przeciwprzepięciowe,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d) sieć zasilająca w energię elektryczną spełnia odpowiednie normy, atesty i przepisy branżowe oraz jest regularnie i właściwie dla danego rodzaju sieci konserwowana przez osoby posiadające do tego stosowne uprawnienia;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3. Ochrona ubezpieczeniowa nie obejmuje szkód powstałych we wszelkiego rodzaju odgromnikach, bezpiecznikach, stycznikach, wkładkach topikowych, miernikach, licznikach, urządzeniach przeciwprzepięciowych, czujnikach, żarówkach, lampach;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4. Limit odpowiedzialności na jedno i wszystkie zdarzenia w okresie ubezpieczenia: 1 000 000 zł</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Definicja mienia pracowniczego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Przez mienie pracownicze rozumie się przedmioty niezbędne do wykonywania pracy lub które zwyczajowo bądź na żądanie pracodawcy znajdują się w miejscu pracy; ubezpieczeniem nie są objęte gotówka, papiery wartościowe i biżuteria.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od ryzyka wandalizmu lub dewastacji (z uwzględnieniem ryzyka graffiti)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szkody w mieniu zgłoszonym do ubezpieczenia, powstałe w wyniku aktów wandalizmu lub dewastacji, w tym szkody o charakterze estetycznym polegające na pomalowaniu (w tym graffiti), poplamieniu, zadrapaniu, zabrudzeniu, odbarwieniu, zarysowaniu i innych drobnych uszkodzeniach, nie mających wpływu na funkcjonalność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2. W ubezpieczeniu mienia na podstawie niniejszej klauzuli stosuje się system pierwszego ryzyka oraz obowiązuje rodzaj wartości ubezpieczeniowej, jaki został przyjęty w ubezpieczeniu danej grupy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3. Z odpowiedzialności TU wyłączone są szkody: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powstałe w wyniku zdarzeń powodujących wyłącznie szkody w przedmiotach szklanych lub w oszkleniu obiektów budowlanych;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wynikłe ze zużycia eksploatacyjnego, obsługi i użytkowania danego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4. Limit odpowiedzialności: 100 000,00 zł na jedno i wszystkie zdarzenia w okresie ubezpieczenia z zastrzeżeniem, że </w:t>
      </w:r>
      <w:proofErr w:type="spellStart"/>
      <w:r w:rsidRPr="00D73ADD">
        <w:rPr>
          <w:rFonts w:ascii="Times New Roman" w:hAnsi="Times New Roman"/>
          <w:sz w:val="24"/>
          <w:szCs w:val="24"/>
        </w:rPr>
        <w:t>podlimit</w:t>
      </w:r>
      <w:proofErr w:type="spellEnd"/>
      <w:r w:rsidRPr="00D73ADD">
        <w:rPr>
          <w:rFonts w:ascii="Times New Roman" w:hAnsi="Times New Roman"/>
          <w:sz w:val="24"/>
          <w:szCs w:val="24"/>
        </w:rPr>
        <w:t xml:space="preserve"> odpowiedzialności na szkody o charakterze estetycznym wynosi 10 000 zł na jedno i wszystkie zdarzenia w okresie ubezpieczenia.</w:t>
      </w:r>
    </w:p>
    <w:p w:rsidR="005E33B2" w:rsidRPr="00D73ADD" w:rsidRDefault="005E33B2" w:rsidP="004F2724">
      <w:pPr>
        <w:spacing w:after="0"/>
        <w:jc w:val="both"/>
        <w:rPr>
          <w:rFonts w:ascii="Times New Roman" w:hAnsi="Times New Roman"/>
          <w:sz w:val="24"/>
          <w:szCs w:val="24"/>
        </w:rPr>
      </w:pPr>
      <w:r w:rsidRPr="0067141E">
        <w:rPr>
          <w:rFonts w:ascii="Times New Roman" w:hAnsi="Times New Roman"/>
          <w:sz w:val="24"/>
          <w:szCs w:val="24"/>
        </w:rPr>
        <w:t>5. W ubezpieczeniu wandalizmu i dewastacji w tym dla szkód o charakterze estetycznym  zastosowanie ma franszyza redukcyjna w wysokości 10% wysokości odszkodowania nie mniej niż 400,00 zł.</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przedłużenia ochrony ubezpieczeniowej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na pisemny wniosek Ubezpieczającego, złożony nie później niż na 7 dni kalendarzowych przed wygaśnięciem ochrony ubezpieczeniowej, TU jednokrotnie przedłuży ochronę ubezpieczeniową z tytułu umowy ubezpieczenia o kolejne 7 dni kalendarzowych, przypadających po zakończeniu okresu ubezpieczenia. Warunki umowy ubezpieczenia w ciągu tych 7 dni pozostają bez zmian.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TU sporządzi i doręczy najpóźniej w dniu, w którym upływa pierwotny termin wygaśnięcia ochrony, stosowny dokument, potwierdzający przedłużenie ochrony ubezpieczeniowej.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Ubezpieczający zobowiązany jest do opłacenia składki dodatkowej z tytułu przedłużenia ochrony ubezpieczeniowej liczonej pro rata temporis za każdy dzień ochrony ubezpieczeniowej. Termin płatności składki nie może przypadać wcześniej niż na pierwszy dzień dodatkowej ochrony ubezpieczeniowej.</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kosztów dostosowania do przepisów prawa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ochroną ubezpieczeniową, objęte są dodatkowe, poniesione przez Ubezpieczającego, uzasadnione i udokumentowane koszty, powstałe w związku z zaistniałą szkodą objętą zakresem ubezpieczenia wynikające z konieczności odtworzenia lub naprawienia mienia zgodnie ze stosownymi obowiązującymi przepisami prawa polskiego.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Limit odpowiedzialności: 200 000 zł na jedno i wszystkie zdarzenia w okresie ubezpieczenia.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sz w:val="24"/>
          <w:szCs w:val="24"/>
        </w:rPr>
      </w:pPr>
      <w:r w:rsidRPr="00D73ADD">
        <w:rPr>
          <w:rFonts w:ascii="Times New Roman" w:hAnsi="Times New Roman"/>
          <w:b/>
          <w:sz w:val="24"/>
          <w:szCs w:val="24"/>
        </w:rPr>
        <w:t>Klauzula poszukiwania miejsc wystąpienia przyczyny  szkody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ochrona ubezpieczeniowa obejmuje pokrycie uzasadnionych i udokumentowanych kosztów poszukiwania miejsca wystąpienia przyczyny  szkody i usunięcia skutków tych poszukiwań.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30 000,00 zł na jedno i wszystkie zdarzenia w okresie ubezpieczenia.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ograniczenia zasady proporcji wg sumy ubezpieczenia (klauzula </w:t>
      </w:r>
      <w:proofErr w:type="spellStart"/>
      <w:r w:rsidRPr="00D73ADD">
        <w:rPr>
          <w:rFonts w:ascii="Times New Roman" w:hAnsi="Times New Roman"/>
          <w:b/>
          <w:sz w:val="24"/>
          <w:szCs w:val="24"/>
        </w:rPr>
        <w:t>leeway</w:t>
      </w:r>
      <w:proofErr w:type="spellEnd"/>
      <w:r w:rsidRPr="00D73ADD">
        <w:rPr>
          <w:rFonts w:ascii="Times New Roman" w:hAnsi="Times New Roman"/>
          <w:b/>
          <w:sz w:val="24"/>
          <w:szCs w:val="24"/>
        </w:rPr>
        <w:t xml:space="preserve">) </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nie ma zastosowania zasada proporcjonalnego zmniejszenia wypłaty odszkodowania, jeżeli wartość przedmiotu ubezpieczenia, przy uwzględnieniu rodzaju zadeklarowanej wartości będącej podstawą do ustalenia sumy ubezpieczenia, w dniu szkody nie przekracza 120% sumy ubezpieczenia tego przedmiotu</w:t>
      </w:r>
    </w:p>
    <w:p w:rsidR="00F661BE" w:rsidRDefault="00F661BE" w:rsidP="004F2724">
      <w:pPr>
        <w:spacing w:after="0"/>
        <w:jc w:val="both"/>
        <w:rPr>
          <w:rFonts w:ascii="Times New Roman" w:hAnsi="Times New Roman"/>
          <w:sz w:val="24"/>
          <w:szCs w:val="24"/>
        </w:rPr>
      </w:pP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ograniczenia zasady proporcji wg szkody</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nie ma zastosowania zasada proporcjonalnego zmniejszenia wypłaty odszkodowania w przypadku, gdy wysokość szkody nie przekracza 20% sumy ubezpieczenia danego przedmiotu ubezpieczenia</w:t>
      </w:r>
    </w:p>
    <w:p w:rsidR="00F661BE" w:rsidRDefault="00F661BE" w:rsidP="004F2724">
      <w:pPr>
        <w:spacing w:after="0"/>
        <w:jc w:val="both"/>
        <w:rPr>
          <w:rFonts w:ascii="Times New Roman" w:hAnsi="Times New Roman"/>
          <w:sz w:val="24"/>
          <w:szCs w:val="24"/>
        </w:rPr>
      </w:pPr>
    </w:p>
    <w:p w:rsidR="00F661BE" w:rsidRDefault="00F661BE" w:rsidP="00F661BE">
      <w:pPr>
        <w:pStyle w:val="Akapitzlist"/>
        <w:numPr>
          <w:ilvl w:val="0"/>
          <w:numId w:val="10"/>
        </w:numPr>
        <w:spacing w:after="0"/>
        <w:jc w:val="both"/>
        <w:rPr>
          <w:rFonts w:ascii="Times New Roman" w:hAnsi="Times New Roman"/>
          <w:sz w:val="24"/>
          <w:szCs w:val="24"/>
        </w:rPr>
      </w:pPr>
      <w:r w:rsidRPr="00F661BE">
        <w:rPr>
          <w:rFonts w:ascii="Times New Roman" w:hAnsi="Times New Roman"/>
          <w:b/>
          <w:sz w:val="24"/>
          <w:szCs w:val="24"/>
        </w:rPr>
        <w:t>Klauzula włączenia rażącego niedbalstwa</w:t>
      </w:r>
    </w:p>
    <w:p w:rsidR="00F661BE" w:rsidRPr="00F661BE" w:rsidRDefault="00F661BE" w:rsidP="00F661BE">
      <w:pPr>
        <w:spacing w:after="0"/>
        <w:jc w:val="both"/>
        <w:rPr>
          <w:rFonts w:ascii="Times New Roman" w:hAnsi="Times New Roman"/>
          <w:sz w:val="24"/>
          <w:szCs w:val="24"/>
        </w:rPr>
      </w:pPr>
      <w:r>
        <w:rPr>
          <w:rFonts w:ascii="Times New Roman" w:hAnsi="Times New Roman"/>
          <w:sz w:val="24"/>
          <w:szCs w:val="24"/>
        </w:rPr>
        <w:lastRenderedPageBreak/>
        <w:t>B</w:t>
      </w:r>
      <w:r w:rsidRPr="00F661BE">
        <w:rPr>
          <w:rFonts w:ascii="Times New Roman" w:hAnsi="Times New Roman"/>
          <w:sz w:val="24"/>
          <w:szCs w:val="24"/>
        </w:rPr>
        <w:t xml:space="preserve">ez względu na postanowienia ogólnych bądź szczególnych warunków ubezpieczenia, strony umowy ubezpieczenia uzgodniły, że:                       </w:t>
      </w:r>
      <w:r>
        <w:rPr>
          <w:rFonts w:ascii="Times New Roman" w:hAnsi="Times New Roman"/>
          <w:sz w:val="24"/>
          <w:szCs w:val="24"/>
        </w:rPr>
        <w:t xml:space="preserve">                                                                                               </w:t>
      </w:r>
      <w:r>
        <w:rPr>
          <w:rFonts w:ascii="Times New Roman" w:hAnsi="Times New Roman"/>
          <w:sz w:val="24"/>
          <w:szCs w:val="24"/>
        </w:rPr>
        <w:tab/>
      </w:r>
      <w:r w:rsidRPr="00F661BE">
        <w:rPr>
          <w:rFonts w:ascii="Times New Roman" w:hAnsi="Times New Roman"/>
          <w:sz w:val="24"/>
          <w:szCs w:val="24"/>
        </w:rPr>
        <w:t xml:space="preserve"> Ochrona ubezpieczeniowa w zakresie ubezpieczenia odpowiedzialności cywilnej obejmuje szkody wyrządzone wskutek rażącego niedbalstwa ubezpieczającego lub ubezpieczonego. Ubezpieczyciel jest wolny od odpowiedzialności, jeżeli ubezpieczający lub ubezpieczony wyrządził szkodę umyślnie. Przez osoby objęte ubezpieczeniem należy rozumieć Ubezpieczającego, którym jest Zamawiający oraz wszystkie inne osoby, za które ponosi </w:t>
      </w:r>
      <w:r w:rsidR="00B67760">
        <w:rPr>
          <w:rFonts w:ascii="Times New Roman" w:hAnsi="Times New Roman"/>
          <w:sz w:val="24"/>
          <w:szCs w:val="24"/>
        </w:rPr>
        <w:t xml:space="preserve">odpowiedzialność – </w:t>
      </w:r>
      <w:proofErr w:type="spellStart"/>
      <w:r w:rsidR="00B67760">
        <w:rPr>
          <w:rFonts w:ascii="Times New Roman" w:hAnsi="Times New Roman"/>
          <w:sz w:val="24"/>
          <w:szCs w:val="24"/>
        </w:rPr>
        <w:t>podlimit</w:t>
      </w:r>
      <w:proofErr w:type="spellEnd"/>
      <w:r w:rsidR="00B67760">
        <w:rPr>
          <w:rFonts w:ascii="Times New Roman" w:hAnsi="Times New Roman"/>
          <w:sz w:val="24"/>
          <w:szCs w:val="24"/>
        </w:rPr>
        <w:t xml:space="preserve"> 20 0</w:t>
      </w:r>
      <w:r w:rsidRPr="00F661BE">
        <w:rPr>
          <w:rFonts w:ascii="Times New Roman" w:hAnsi="Times New Roman"/>
          <w:sz w:val="24"/>
          <w:szCs w:val="24"/>
        </w:rPr>
        <w:t>00 zł</w:t>
      </w:r>
    </w:p>
    <w:p w:rsidR="00F661BE" w:rsidRPr="00A9694A" w:rsidRDefault="00F661BE" w:rsidP="004F2724">
      <w:pPr>
        <w:spacing w:after="0"/>
        <w:jc w:val="both"/>
        <w:rPr>
          <w:rFonts w:ascii="Times New Roman" w:hAnsi="Times New Roman"/>
          <w:sz w:val="24"/>
          <w:szCs w:val="24"/>
        </w:rPr>
      </w:pPr>
    </w:p>
    <w:p w:rsidR="005E33B2" w:rsidRDefault="005E33B2" w:rsidP="004F2724">
      <w:pPr>
        <w:spacing w:after="0"/>
        <w:jc w:val="both"/>
        <w:rPr>
          <w:rFonts w:ascii="Times New Roman" w:hAnsi="Times New Roman"/>
          <w:sz w:val="24"/>
          <w:szCs w:val="24"/>
        </w:rPr>
      </w:pPr>
    </w:p>
    <w:p w:rsidR="005E33B2" w:rsidRPr="00FC75B9" w:rsidRDefault="005E33B2" w:rsidP="00FC75B9">
      <w:pPr>
        <w:pStyle w:val="Akapitzlist"/>
        <w:numPr>
          <w:ilvl w:val="0"/>
          <w:numId w:val="3"/>
        </w:numPr>
        <w:spacing w:after="0"/>
        <w:rPr>
          <w:rFonts w:ascii="Times New Roman" w:hAnsi="Times New Roman"/>
          <w:b/>
          <w:sz w:val="24"/>
          <w:szCs w:val="24"/>
        </w:rPr>
      </w:pPr>
      <w:r w:rsidRPr="00FC75B9">
        <w:rPr>
          <w:rFonts w:ascii="Times New Roman" w:hAnsi="Times New Roman"/>
          <w:b/>
          <w:sz w:val="24"/>
          <w:szCs w:val="24"/>
        </w:rPr>
        <w:t>W</w:t>
      </w:r>
      <w:r w:rsidR="00651BF9">
        <w:rPr>
          <w:rFonts w:ascii="Times New Roman" w:hAnsi="Times New Roman"/>
          <w:b/>
          <w:sz w:val="24"/>
          <w:szCs w:val="24"/>
        </w:rPr>
        <w:t>ymagania określone przez Z</w:t>
      </w:r>
      <w:r w:rsidR="00651BF9" w:rsidRPr="00FC75B9">
        <w:rPr>
          <w:rFonts w:ascii="Times New Roman" w:hAnsi="Times New Roman"/>
          <w:b/>
          <w:sz w:val="24"/>
          <w:szCs w:val="24"/>
        </w:rPr>
        <w:t>amawiającego dotyczące przedmiotu zamówienia</w:t>
      </w:r>
      <w:r w:rsidRPr="00FC75B9">
        <w:rPr>
          <w:rFonts w:ascii="Times New Roman" w:hAnsi="Times New Roman"/>
          <w:b/>
          <w:sz w:val="24"/>
          <w:szCs w:val="24"/>
        </w:rPr>
        <w:t>:</w:t>
      </w:r>
    </w:p>
    <w:p w:rsidR="005E33B2" w:rsidRPr="00A1250C" w:rsidRDefault="005E33B2" w:rsidP="00FC75B9">
      <w:pPr>
        <w:pStyle w:val="Akapitzlist"/>
        <w:tabs>
          <w:tab w:val="left" w:pos="0"/>
        </w:tabs>
        <w:spacing w:after="0" w:line="240" w:lineRule="auto"/>
        <w:ind w:left="0"/>
        <w:jc w:val="both"/>
        <w:rPr>
          <w:rFonts w:ascii="Times New Roman" w:hAnsi="Times New Roman"/>
          <w:sz w:val="24"/>
          <w:szCs w:val="24"/>
        </w:rPr>
      </w:pPr>
      <w:r w:rsidRPr="00A1250C">
        <w:rPr>
          <w:rFonts w:ascii="Times New Roman" w:hAnsi="Times New Roman"/>
          <w:sz w:val="24"/>
          <w:szCs w:val="24"/>
        </w:rPr>
        <w:t>Zamawiający wymaga, aby Wykonawca udzielał pełnomocnikow</w:t>
      </w:r>
      <w:r>
        <w:rPr>
          <w:rFonts w:ascii="Times New Roman" w:hAnsi="Times New Roman"/>
          <w:sz w:val="24"/>
          <w:szCs w:val="24"/>
        </w:rPr>
        <w:t>i Zamawiającego – Kancelaria Brokerska Grupa Pałasz</w:t>
      </w:r>
      <w:r w:rsidRPr="00A1250C">
        <w:rPr>
          <w:rFonts w:ascii="Times New Roman" w:hAnsi="Times New Roman"/>
          <w:sz w:val="24"/>
          <w:szCs w:val="24"/>
        </w:rPr>
        <w:t xml:space="preserve"> Sp. z o.o. informacji na temat bieżącej likwidacji szkód Zamawiającego.</w:t>
      </w:r>
    </w:p>
    <w:p w:rsidR="005E33B2" w:rsidRPr="00A1250C" w:rsidRDefault="005E33B2" w:rsidP="00FC75B9">
      <w:pPr>
        <w:pStyle w:val="Akapitzlist"/>
        <w:tabs>
          <w:tab w:val="left" w:pos="540"/>
        </w:tabs>
        <w:spacing w:after="0" w:line="240" w:lineRule="auto"/>
        <w:ind w:left="0"/>
        <w:jc w:val="both"/>
        <w:rPr>
          <w:rFonts w:ascii="Times New Roman" w:hAnsi="Times New Roman"/>
          <w:sz w:val="24"/>
          <w:szCs w:val="24"/>
        </w:rPr>
      </w:pPr>
      <w:r w:rsidRPr="00A1250C">
        <w:rPr>
          <w:rFonts w:ascii="Times New Roman" w:hAnsi="Times New Roman"/>
          <w:sz w:val="24"/>
          <w:szCs w:val="24"/>
        </w:rPr>
        <w:t>Zamawiający wymaga, aby Zamawiający (jednostki Zamawiającego) nie byli zobowiązani do pokrywania strat Wykonawcy działającego w formie towarzystwa ubezpieczeń wzajemnych przez wnoszenie dodatkowej składki, zgodnie z art. 44 ust. 2 Ustawy z dnia 22 maja 2003 r. o działalności ubezpieczeniowej (Dz. U. z 2013 r. poz. 950).</w:t>
      </w:r>
    </w:p>
    <w:p w:rsidR="005E33B2" w:rsidRPr="00A1250C" w:rsidRDefault="005E33B2" w:rsidP="00FC75B9">
      <w:pPr>
        <w:pStyle w:val="Akapitzlist"/>
        <w:tabs>
          <w:tab w:val="left" w:pos="540"/>
        </w:tabs>
        <w:spacing w:after="0" w:line="240" w:lineRule="auto"/>
        <w:ind w:left="0"/>
        <w:jc w:val="both"/>
        <w:rPr>
          <w:rFonts w:ascii="Times New Roman" w:hAnsi="Times New Roman"/>
          <w:sz w:val="24"/>
          <w:szCs w:val="24"/>
        </w:rPr>
      </w:pPr>
      <w:r w:rsidRPr="00A1250C">
        <w:rPr>
          <w:rFonts w:ascii="Times New Roman" w:hAnsi="Times New Roman"/>
          <w:sz w:val="24"/>
          <w:szCs w:val="24"/>
        </w:rPr>
        <w:t>Wykonawca musi posiadać ogólne (szczególne) warunki ubezpieczenia, zwane dalej OWU, ubezpieczeń określonych w przedmiocie zamówienia.</w:t>
      </w:r>
    </w:p>
    <w:p w:rsidR="005E33B2" w:rsidRDefault="005E33B2" w:rsidP="00A1250C">
      <w:pPr>
        <w:pStyle w:val="Akapitzlist"/>
        <w:spacing w:after="0"/>
        <w:rPr>
          <w:rFonts w:ascii="Times New Roman" w:hAnsi="Times New Roman"/>
          <w:b/>
          <w:sz w:val="24"/>
          <w:szCs w:val="24"/>
        </w:rPr>
      </w:pPr>
    </w:p>
    <w:p w:rsidR="005E33B2" w:rsidRDefault="005E33B2" w:rsidP="00FC75B9">
      <w:pPr>
        <w:pStyle w:val="Akapitzlist"/>
        <w:numPr>
          <w:ilvl w:val="0"/>
          <w:numId w:val="3"/>
        </w:numPr>
        <w:spacing w:after="0"/>
        <w:rPr>
          <w:rFonts w:ascii="Times New Roman" w:hAnsi="Times New Roman"/>
          <w:b/>
          <w:sz w:val="24"/>
          <w:szCs w:val="24"/>
        </w:rPr>
      </w:pPr>
      <w:r>
        <w:rPr>
          <w:rFonts w:ascii="Times New Roman" w:hAnsi="Times New Roman"/>
          <w:b/>
          <w:sz w:val="24"/>
          <w:szCs w:val="24"/>
        </w:rPr>
        <w:t>I</w:t>
      </w:r>
      <w:r w:rsidR="00264023">
        <w:rPr>
          <w:rFonts w:ascii="Times New Roman" w:hAnsi="Times New Roman"/>
          <w:b/>
          <w:sz w:val="24"/>
          <w:szCs w:val="24"/>
        </w:rPr>
        <w:t>nformacje dotyczące</w:t>
      </w:r>
      <w:r w:rsidR="00651BF9">
        <w:rPr>
          <w:rFonts w:ascii="Times New Roman" w:hAnsi="Times New Roman"/>
          <w:b/>
          <w:sz w:val="24"/>
          <w:szCs w:val="24"/>
        </w:rPr>
        <w:t xml:space="preserve"> udziału </w:t>
      </w:r>
      <w:r w:rsidR="00264023">
        <w:rPr>
          <w:rFonts w:ascii="Times New Roman" w:hAnsi="Times New Roman"/>
          <w:b/>
          <w:sz w:val="24"/>
          <w:szCs w:val="24"/>
        </w:rPr>
        <w:t>P</w:t>
      </w:r>
      <w:r w:rsidR="00651BF9">
        <w:rPr>
          <w:rFonts w:ascii="Times New Roman" w:hAnsi="Times New Roman"/>
          <w:b/>
          <w:sz w:val="24"/>
          <w:szCs w:val="24"/>
        </w:rPr>
        <w:t>odwykonawców w przedmiocie zamówienia</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rPr>
      </w:pPr>
      <w:r w:rsidRPr="007758B0">
        <w:rPr>
          <w:rFonts w:ascii="Times New Roman" w:hAnsi="Times New Roman"/>
          <w:sz w:val="24"/>
          <w:szCs w:val="24"/>
          <w:lang w:eastAsia="ar-SA"/>
        </w:rPr>
        <w:t>Zamawiający dopuszcza udział podwykonawców przy realizacji przedmiotowego zamówienia.</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rPr>
      </w:pPr>
      <w:r w:rsidRPr="007758B0">
        <w:rPr>
          <w:rFonts w:ascii="Times New Roman" w:hAnsi="Times New Roman"/>
          <w:sz w:val="24"/>
          <w:szCs w:val="24"/>
        </w:rPr>
        <w:t>Zamawiający żąda wskazania przez Wykonawcę w ofercie części zamówienia, którą zamierza powierzyć podwykonawcom.</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lang w:eastAsia="ar-SA"/>
        </w:rPr>
      </w:pPr>
      <w:r w:rsidRPr="007758B0">
        <w:rPr>
          <w:rFonts w:ascii="Times New Roman" w:hAnsi="Times New Roman"/>
          <w:sz w:val="24"/>
          <w:szCs w:val="24"/>
          <w:lang w:eastAsia="ar-SA"/>
        </w:rPr>
        <w:t>Wskazanie w ofercie części zamówienia, której wykonanie Wykonawca powierzy podwykonawcom, winno nastąpić poprzez określenie jej rodzaju i zakresu. W przypadku braku takiego wskazania Zamawiający uzna, że   Wykonawca zrealizuje przedmiotowe zamówienie sam.</w:t>
      </w:r>
    </w:p>
    <w:p w:rsidR="005E33B2"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lang w:eastAsia="ar-SA"/>
        </w:rPr>
      </w:pPr>
      <w:r w:rsidRPr="007758B0">
        <w:rPr>
          <w:rFonts w:ascii="Times New Roman" w:hAnsi="Times New Roman"/>
          <w:sz w:val="24"/>
          <w:szCs w:val="24"/>
          <w:lang w:eastAsia="ar-SA"/>
        </w:rPr>
        <w:t>W przypadku zlecenia części zamówienia podwykonawcom, Wykonawca będzie odpowiadał za działania, uchybienia lub zaniedbania podwykonawców i ich pracowników w takim samym stopniu, jakby to były jego własne działania, uchybienia lub zaniedbania.</w:t>
      </w:r>
    </w:p>
    <w:p w:rsidR="00916BB4" w:rsidRDefault="00916BB4" w:rsidP="00916BB4">
      <w:pPr>
        <w:pStyle w:val="Akapitzlist"/>
        <w:tabs>
          <w:tab w:val="left" w:pos="720"/>
        </w:tabs>
        <w:suppressAutoHyphens/>
        <w:spacing w:after="0" w:line="240" w:lineRule="auto"/>
        <w:ind w:left="0"/>
        <w:jc w:val="both"/>
        <w:rPr>
          <w:rFonts w:ascii="Times New Roman" w:hAnsi="Times New Roman"/>
          <w:sz w:val="24"/>
          <w:szCs w:val="24"/>
          <w:lang w:eastAsia="ar-SA"/>
        </w:rPr>
      </w:pPr>
    </w:p>
    <w:p w:rsidR="004938A4" w:rsidRDefault="004938A4" w:rsidP="004938A4">
      <w:pPr>
        <w:tabs>
          <w:tab w:val="left" w:pos="720"/>
        </w:tabs>
        <w:suppressAutoHyphens/>
        <w:spacing w:after="0" w:line="240" w:lineRule="auto"/>
        <w:jc w:val="both"/>
        <w:rPr>
          <w:rFonts w:ascii="Times New Roman" w:hAnsi="Times New Roman"/>
          <w:sz w:val="24"/>
          <w:szCs w:val="24"/>
          <w:lang w:eastAsia="ar-SA"/>
        </w:rPr>
      </w:pPr>
    </w:p>
    <w:p w:rsidR="00BB721C" w:rsidRPr="00BB721C" w:rsidRDefault="00264023" w:rsidP="00264023">
      <w:pPr>
        <w:widowControl w:val="0"/>
        <w:ind w:left="993" w:hanging="567"/>
        <w:jc w:val="both"/>
        <w:rPr>
          <w:rFonts w:ascii="Times New Roman" w:hAnsi="Times New Roman"/>
          <w:b/>
          <w:sz w:val="24"/>
        </w:rPr>
      </w:pPr>
      <w:r>
        <w:rPr>
          <w:rFonts w:ascii="Times New Roman" w:hAnsi="Times New Roman"/>
          <w:b/>
          <w:sz w:val="24"/>
        </w:rPr>
        <w:t>VI</w:t>
      </w:r>
      <w:r w:rsidR="00BB721C" w:rsidRPr="00BB721C">
        <w:rPr>
          <w:rFonts w:ascii="Times New Roman" w:hAnsi="Times New Roman"/>
          <w:b/>
          <w:sz w:val="24"/>
        </w:rPr>
        <w:t>. Klauzule dodatkowe lub zwiększenia limitów i inne postanowienia szczególnie fakultatywne.</w:t>
      </w:r>
    </w:p>
    <w:p w:rsidR="00BB721C" w:rsidRPr="00BB721C" w:rsidRDefault="00B67760" w:rsidP="00264023">
      <w:pPr>
        <w:widowControl w:val="0"/>
        <w:jc w:val="both"/>
        <w:rPr>
          <w:rFonts w:ascii="Times New Roman" w:hAnsi="Times New Roman"/>
          <w:b/>
          <w:sz w:val="24"/>
        </w:rPr>
      </w:pPr>
      <w:r>
        <w:rPr>
          <w:rFonts w:ascii="Times New Roman" w:hAnsi="Times New Roman"/>
          <w:b/>
          <w:sz w:val="24"/>
        </w:rPr>
        <w:t xml:space="preserve">Dla zadania </w:t>
      </w:r>
      <w:r w:rsidR="008448AC">
        <w:rPr>
          <w:rFonts w:ascii="Times New Roman" w:hAnsi="Times New Roman"/>
          <w:b/>
          <w:sz w:val="24"/>
        </w:rPr>
        <w:t xml:space="preserve"> </w:t>
      </w:r>
      <w:r w:rsidR="00BB721C">
        <w:rPr>
          <w:rFonts w:ascii="Times New Roman" w:hAnsi="Times New Roman"/>
          <w:b/>
          <w:sz w:val="24"/>
        </w:rPr>
        <w:t xml:space="preserve">Ubezpieczenie mienia od wszystkich </w:t>
      </w:r>
      <w:proofErr w:type="spellStart"/>
      <w:r w:rsidR="00BB721C">
        <w:rPr>
          <w:rFonts w:ascii="Times New Roman" w:hAnsi="Times New Roman"/>
          <w:b/>
          <w:sz w:val="24"/>
        </w:rPr>
        <w:t>ryzyk</w:t>
      </w:r>
      <w:proofErr w:type="spellEnd"/>
    </w:p>
    <w:p w:rsidR="00BB721C" w:rsidRPr="00BB721C" w:rsidRDefault="00264023" w:rsidP="00264023">
      <w:pPr>
        <w:widowControl w:val="0"/>
        <w:spacing w:after="0"/>
        <w:jc w:val="both"/>
        <w:rPr>
          <w:rFonts w:ascii="Times New Roman" w:hAnsi="Times New Roman"/>
          <w:sz w:val="24"/>
        </w:rPr>
      </w:pPr>
      <w:r>
        <w:rPr>
          <w:rFonts w:ascii="Times New Roman" w:hAnsi="Times New Roman"/>
          <w:sz w:val="24"/>
        </w:rPr>
        <w:t xml:space="preserve">1. </w:t>
      </w:r>
      <w:r w:rsidR="00B67760">
        <w:rPr>
          <w:rFonts w:ascii="Times New Roman" w:hAnsi="Times New Roman"/>
          <w:sz w:val="24"/>
        </w:rPr>
        <w:t>Przyznanie</w:t>
      </w:r>
      <w:r w:rsidR="00BB721C" w:rsidRPr="00BB721C">
        <w:rPr>
          <w:rFonts w:ascii="Times New Roman" w:hAnsi="Times New Roman"/>
          <w:sz w:val="24"/>
        </w:rPr>
        <w:t xml:space="preserve"> limitu</w:t>
      </w:r>
      <w:r w:rsidR="00B67760">
        <w:rPr>
          <w:rFonts w:ascii="Times New Roman" w:hAnsi="Times New Roman"/>
          <w:sz w:val="24"/>
        </w:rPr>
        <w:t xml:space="preserve"> na pierwsze ryzyko</w:t>
      </w:r>
      <w:r w:rsidR="00BB721C" w:rsidRPr="00BB721C">
        <w:rPr>
          <w:rFonts w:ascii="Times New Roman" w:hAnsi="Times New Roman"/>
          <w:sz w:val="24"/>
        </w:rPr>
        <w:t xml:space="preserve"> </w:t>
      </w:r>
      <w:r w:rsidR="00B67760">
        <w:rPr>
          <w:rFonts w:ascii="Times New Roman" w:hAnsi="Times New Roman"/>
          <w:sz w:val="24"/>
        </w:rPr>
        <w:t>5</w:t>
      </w:r>
      <w:r w:rsidR="00BB721C" w:rsidRPr="00BB721C">
        <w:rPr>
          <w:rFonts w:ascii="Times New Roman" w:hAnsi="Times New Roman"/>
          <w:sz w:val="24"/>
        </w:rPr>
        <w:t>0 000 PLN w odniesieniu do  ubezpieczenia budowli będących drogami, chodnikami, placami, parkingami i mostami</w:t>
      </w:r>
    </w:p>
    <w:p w:rsidR="00BB721C" w:rsidRDefault="00BB721C" w:rsidP="00B67760">
      <w:pPr>
        <w:widowControl w:val="0"/>
        <w:spacing w:after="0"/>
        <w:jc w:val="both"/>
        <w:rPr>
          <w:rFonts w:ascii="Times New Roman" w:hAnsi="Times New Roman"/>
          <w:sz w:val="24"/>
        </w:rPr>
      </w:pPr>
      <w:r>
        <w:rPr>
          <w:rFonts w:ascii="Times New Roman" w:hAnsi="Times New Roman"/>
          <w:sz w:val="24"/>
        </w:rPr>
        <w:t xml:space="preserve">2. </w:t>
      </w:r>
      <w:r w:rsidR="00B67760" w:rsidRPr="00B67760">
        <w:rPr>
          <w:rFonts w:ascii="Times New Roman" w:hAnsi="Times New Roman"/>
          <w:sz w:val="24"/>
        </w:rPr>
        <w:t>Przyzn</w:t>
      </w:r>
      <w:r w:rsidR="00B67760">
        <w:rPr>
          <w:rFonts w:ascii="Times New Roman" w:hAnsi="Times New Roman"/>
          <w:sz w:val="24"/>
        </w:rPr>
        <w:t>anie limitu na pierwsze ryzyko 10</w:t>
      </w:r>
      <w:r w:rsidR="00B67760" w:rsidRPr="00B67760">
        <w:rPr>
          <w:rFonts w:ascii="Times New Roman" w:hAnsi="Times New Roman"/>
          <w:sz w:val="24"/>
        </w:rPr>
        <w:t>0 000 PLN w odniesieniu do  ubezpieczenia budowli będących drogami, chodnikami, placami, parkingami i mostami</w:t>
      </w:r>
    </w:p>
    <w:p w:rsidR="00B67760" w:rsidRDefault="00B67760" w:rsidP="00B67760">
      <w:pPr>
        <w:widowControl w:val="0"/>
        <w:spacing w:after="0"/>
        <w:jc w:val="both"/>
        <w:rPr>
          <w:rFonts w:ascii="Times New Roman" w:hAnsi="Times New Roman"/>
          <w:sz w:val="24"/>
        </w:rPr>
      </w:pPr>
      <w:r>
        <w:rPr>
          <w:rFonts w:ascii="Times New Roman" w:hAnsi="Times New Roman"/>
          <w:sz w:val="24"/>
        </w:rPr>
        <w:t xml:space="preserve">3. </w:t>
      </w:r>
      <w:r w:rsidRPr="00B67760">
        <w:rPr>
          <w:rFonts w:ascii="Times New Roman" w:hAnsi="Times New Roman"/>
          <w:sz w:val="24"/>
        </w:rPr>
        <w:t>Przyzn</w:t>
      </w:r>
      <w:r>
        <w:rPr>
          <w:rFonts w:ascii="Times New Roman" w:hAnsi="Times New Roman"/>
          <w:sz w:val="24"/>
        </w:rPr>
        <w:t>anie limitu na pierwsze ryzyko 20</w:t>
      </w:r>
      <w:r w:rsidRPr="00B67760">
        <w:rPr>
          <w:rFonts w:ascii="Times New Roman" w:hAnsi="Times New Roman"/>
          <w:sz w:val="24"/>
        </w:rPr>
        <w:t>0 000 PLN w odniesieniu do  ubezpieczenia budowli będących drogami, chodnikami, placami, parkingami i mostami</w:t>
      </w:r>
    </w:p>
    <w:p w:rsidR="00B67760" w:rsidRDefault="00B67760" w:rsidP="00B67760">
      <w:pPr>
        <w:widowControl w:val="0"/>
        <w:spacing w:after="0"/>
        <w:jc w:val="both"/>
        <w:rPr>
          <w:rFonts w:ascii="Times New Roman" w:hAnsi="Times New Roman"/>
          <w:sz w:val="24"/>
        </w:rPr>
      </w:pPr>
      <w:r>
        <w:rPr>
          <w:rFonts w:ascii="Times New Roman" w:hAnsi="Times New Roman"/>
          <w:sz w:val="24"/>
        </w:rPr>
        <w:t xml:space="preserve">4. </w:t>
      </w:r>
      <w:r w:rsidRPr="00B67760">
        <w:rPr>
          <w:rFonts w:ascii="Times New Roman" w:hAnsi="Times New Roman"/>
          <w:sz w:val="24"/>
        </w:rPr>
        <w:t>Przyzn</w:t>
      </w:r>
      <w:r>
        <w:rPr>
          <w:rFonts w:ascii="Times New Roman" w:hAnsi="Times New Roman"/>
          <w:sz w:val="24"/>
        </w:rPr>
        <w:t>anie limitu na pierwsze ryzyko 30</w:t>
      </w:r>
      <w:r w:rsidRPr="00B67760">
        <w:rPr>
          <w:rFonts w:ascii="Times New Roman" w:hAnsi="Times New Roman"/>
          <w:sz w:val="24"/>
        </w:rPr>
        <w:t>0 000 PLN w odniesieniu do  ubezpieczenia budowli będących drogami, chodnikami, placami, parkingami i mostami</w:t>
      </w:r>
    </w:p>
    <w:p w:rsidR="00B67760" w:rsidRDefault="00B67760" w:rsidP="00B67760">
      <w:pPr>
        <w:widowControl w:val="0"/>
        <w:spacing w:after="0"/>
        <w:jc w:val="both"/>
        <w:rPr>
          <w:rFonts w:ascii="Times New Roman" w:hAnsi="Times New Roman"/>
          <w:sz w:val="24"/>
        </w:rPr>
      </w:pPr>
      <w:r>
        <w:rPr>
          <w:rFonts w:ascii="Times New Roman" w:hAnsi="Times New Roman"/>
          <w:sz w:val="24"/>
        </w:rPr>
        <w:t xml:space="preserve">5. </w:t>
      </w:r>
      <w:r w:rsidRPr="00B67760">
        <w:rPr>
          <w:rFonts w:ascii="Times New Roman" w:hAnsi="Times New Roman"/>
          <w:sz w:val="24"/>
        </w:rPr>
        <w:t>Przyzn</w:t>
      </w:r>
      <w:r>
        <w:rPr>
          <w:rFonts w:ascii="Times New Roman" w:hAnsi="Times New Roman"/>
          <w:sz w:val="24"/>
        </w:rPr>
        <w:t>anie limitu na pierwsze ryzyko 40</w:t>
      </w:r>
      <w:r w:rsidRPr="00B67760">
        <w:rPr>
          <w:rFonts w:ascii="Times New Roman" w:hAnsi="Times New Roman"/>
          <w:sz w:val="24"/>
        </w:rPr>
        <w:t>0 000 PLN w odniesieniu do  ubezpieczenia budowli będących drogami, chodnikami, placami, parkingami i mostami</w:t>
      </w:r>
    </w:p>
    <w:p w:rsidR="00BB721C" w:rsidRDefault="00BB721C" w:rsidP="00264023">
      <w:pPr>
        <w:widowControl w:val="0"/>
        <w:jc w:val="both"/>
        <w:rPr>
          <w:rFonts w:ascii="Times New Roman" w:hAnsi="Times New Roman"/>
          <w:b/>
          <w:sz w:val="24"/>
        </w:rPr>
      </w:pPr>
    </w:p>
    <w:p w:rsidR="00BB721C" w:rsidRPr="00BB721C" w:rsidRDefault="00BB721C" w:rsidP="00BB721C">
      <w:pPr>
        <w:widowControl w:val="0"/>
        <w:ind w:left="360"/>
        <w:jc w:val="both"/>
        <w:rPr>
          <w:rFonts w:ascii="Times New Roman" w:hAnsi="Times New Roman"/>
          <w:b/>
          <w:sz w:val="24"/>
        </w:rPr>
      </w:pPr>
    </w:p>
    <w:p w:rsidR="00DA5F79" w:rsidRPr="00DA5F79" w:rsidRDefault="00DA5F79" w:rsidP="00DA5F79">
      <w:pPr>
        <w:tabs>
          <w:tab w:val="left" w:pos="720"/>
        </w:tabs>
        <w:suppressAutoHyphens/>
        <w:spacing w:after="0" w:line="240" w:lineRule="auto"/>
        <w:jc w:val="both"/>
        <w:rPr>
          <w:rFonts w:ascii="Times New Roman" w:hAnsi="Times New Roman"/>
          <w:b/>
          <w:sz w:val="24"/>
          <w:szCs w:val="24"/>
          <w:lang w:eastAsia="ar-SA"/>
        </w:rPr>
      </w:pPr>
    </w:p>
    <w:sectPr w:rsidR="00DA5F79" w:rsidRPr="00DA5F79" w:rsidSect="005A2314">
      <w:footerReference w:type="default" r:id="rId7"/>
      <w:pgSz w:w="11906" w:h="16838"/>
      <w:pgMar w:top="1079" w:right="849" w:bottom="71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244" w:rsidRDefault="00254244" w:rsidP="004D70F1">
      <w:pPr>
        <w:spacing w:after="0" w:line="240" w:lineRule="auto"/>
      </w:pPr>
      <w:r>
        <w:separator/>
      </w:r>
    </w:p>
  </w:endnote>
  <w:endnote w:type="continuationSeparator" w:id="0">
    <w:p w:rsidR="00254244" w:rsidRDefault="00254244" w:rsidP="004D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AD" w:rsidRDefault="00391DAD">
    <w:pPr>
      <w:pStyle w:val="Stopka"/>
      <w:jc w:val="right"/>
    </w:pPr>
    <w:r>
      <w:fldChar w:fldCharType="begin"/>
    </w:r>
    <w:r>
      <w:instrText>PAGE   \* MERGEFORMAT</w:instrText>
    </w:r>
    <w:r>
      <w:fldChar w:fldCharType="separate"/>
    </w:r>
    <w:r w:rsidR="000D54C7">
      <w:rPr>
        <w:noProof/>
      </w:rPr>
      <w:t>6</w:t>
    </w:r>
    <w:r>
      <w:rPr>
        <w:noProof/>
      </w:rPr>
      <w:fldChar w:fldCharType="end"/>
    </w:r>
  </w:p>
  <w:p w:rsidR="00391DAD" w:rsidRDefault="00391D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244" w:rsidRDefault="00254244" w:rsidP="004D70F1">
      <w:pPr>
        <w:spacing w:after="0" w:line="240" w:lineRule="auto"/>
      </w:pPr>
      <w:r>
        <w:separator/>
      </w:r>
    </w:p>
  </w:footnote>
  <w:footnote w:type="continuationSeparator" w:id="0">
    <w:p w:rsidR="00254244" w:rsidRDefault="00254244" w:rsidP="004D70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142"/>
        </w:tabs>
        <w:ind w:left="-142" w:hanging="360"/>
      </w:pPr>
      <w:rPr>
        <w:rFonts w:cs="Times New Roman"/>
      </w:rPr>
    </w:lvl>
  </w:abstractNum>
  <w:abstractNum w:abstractNumId="1" w15:restartNumberingAfterBreak="0">
    <w:nsid w:val="0000000A"/>
    <w:multiLevelType w:val="multilevel"/>
    <w:tmpl w:val="0000000A"/>
    <w:name w:val="WW8Num10"/>
    <w:lvl w:ilvl="0">
      <w:start w:val="1"/>
      <w:numFmt w:val="bullet"/>
      <w:lvlText w:val=""/>
      <w:lvlJc w:val="left"/>
      <w:pPr>
        <w:tabs>
          <w:tab w:val="num" w:pos="1440"/>
        </w:tabs>
        <w:ind w:left="1440" w:hanging="360"/>
      </w:pPr>
      <w:rPr>
        <w:rFonts w:ascii="Symbol" w:hAnsi="Symbol"/>
        <w:sz w:val="18"/>
      </w:rPr>
    </w:lvl>
    <w:lvl w:ilvl="1">
      <w:start w:val="1"/>
      <w:numFmt w:val="bullet"/>
      <w:lvlText w:val=""/>
      <w:lvlJc w:val="left"/>
      <w:pPr>
        <w:tabs>
          <w:tab w:val="num" w:pos="2457"/>
        </w:tabs>
        <w:ind w:left="2457" w:hanging="360"/>
      </w:pPr>
      <w:rPr>
        <w:rFonts w:ascii="Symbol" w:hAnsi="Symbol"/>
        <w:sz w:val="18"/>
      </w:rPr>
    </w:lvl>
    <w:lvl w:ilvl="2">
      <w:start w:val="1"/>
      <w:numFmt w:val="bullet"/>
      <w:lvlText w:val=""/>
      <w:lvlJc w:val="left"/>
      <w:pPr>
        <w:tabs>
          <w:tab w:val="num" w:pos="3465"/>
        </w:tabs>
        <w:ind w:left="3465" w:hanging="360"/>
      </w:pPr>
      <w:rPr>
        <w:rFonts w:ascii="Symbol" w:hAnsi="Symbol"/>
        <w:sz w:val="18"/>
      </w:rPr>
    </w:lvl>
    <w:lvl w:ilvl="3">
      <w:start w:val="1"/>
      <w:numFmt w:val="bullet"/>
      <w:lvlText w:val=""/>
      <w:lvlJc w:val="left"/>
      <w:pPr>
        <w:tabs>
          <w:tab w:val="num" w:pos="4473"/>
        </w:tabs>
        <w:ind w:left="4473" w:hanging="360"/>
      </w:pPr>
      <w:rPr>
        <w:rFonts w:ascii="Symbol" w:hAnsi="Symbol"/>
        <w:sz w:val="18"/>
      </w:rPr>
    </w:lvl>
    <w:lvl w:ilvl="4">
      <w:start w:val="1"/>
      <w:numFmt w:val="bullet"/>
      <w:lvlText w:val=""/>
      <w:lvlJc w:val="left"/>
      <w:pPr>
        <w:tabs>
          <w:tab w:val="num" w:pos="5481"/>
        </w:tabs>
        <w:ind w:left="5481" w:hanging="360"/>
      </w:pPr>
      <w:rPr>
        <w:rFonts w:ascii="Symbol" w:hAnsi="Symbol"/>
        <w:sz w:val="18"/>
      </w:rPr>
    </w:lvl>
    <w:lvl w:ilvl="5">
      <w:start w:val="1"/>
      <w:numFmt w:val="bullet"/>
      <w:lvlText w:val=""/>
      <w:lvlJc w:val="left"/>
      <w:pPr>
        <w:tabs>
          <w:tab w:val="num" w:pos="6489"/>
        </w:tabs>
        <w:ind w:left="6489" w:hanging="360"/>
      </w:pPr>
      <w:rPr>
        <w:rFonts w:ascii="Symbol" w:hAnsi="Symbol"/>
        <w:sz w:val="18"/>
      </w:rPr>
    </w:lvl>
    <w:lvl w:ilvl="6">
      <w:start w:val="1"/>
      <w:numFmt w:val="bullet"/>
      <w:lvlText w:val=""/>
      <w:lvlJc w:val="left"/>
      <w:pPr>
        <w:tabs>
          <w:tab w:val="num" w:pos="7497"/>
        </w:tabs>
        <w:ind w:left="7497" w:hanging="360"/>
      </w:pPr>
      <w:rPr>
        <w:rFonts w:ascii="Symbol" w:hAnsi="Symbol"/>
        <w:sz w:val="18"/>
      </w:rPr>
    </w:lvl>
    <w:lvl w:ilvl="7">
      <w:start w:val="1"/>
      <w:numFmt w:val="bullet"/>
      <w:lvlText w:val=""/>
      <w:lvlJc w:val="left"/>
      <w:pPr>
        <w:tabs>
          <w:tab w:val="num" w:pos="8505"/>
        </w:tabs>
        <w:ind w:left="8505" w:hanging="360"/>
      </w:pPr>
      <w:rPr>
        <w:rFonts w:ascii="Symbol" w:hAnsi="Symbol"/>
        <w:sz w:val="18"/>
      </w:rPr>
    </w:lvl>
    <w:lvl w:ilvl="8">
      <w:start w:val="1"/>
      <w:numFmt w:val="bullet"/>
      <w:lvlText w:val=""/>
      <w:lvlJc w:val="left"/>
      <w:pPr>
        <w:tabs>
          <w:tab w:val="num" w:pos="9513"/>
        </w:tabs>
        <w:ind w:left="9513" w:hanging="360"/>
      </w:pPr>
      <w:rPr>
        <w:rFonts w:ascii="Symbol" w:hAnsi="Symbol"/>
        <w:sz w:val="18"/>
      </w:rPr>
    </w:lvl>
  </w:abstractNum>
  <w:abstractNum w:abstractNumId="2" w15:restartNumberingAfterBreak="0">
    <w:nsid w:val="0000000B"/>
    <w:multiLevelType w:val="multilevel"/>
    <w:tmpl w:val="0000000B"/>
    <w:name w:val="WW8Num11"/>
    <w:lvl w:ilvl="0">
      <w:start w:val="1"/>
      <w:numFmt w:val="bullet"/>
      <w:lvlText w:val=""/>
      <w:lvlJc w:val="left"/>
      <w:pPr>
        <w:tabs>
          <w:tab w:val="num" w:pos="1440"/>
        </w:tabs>
        <w:ind w:left="1440" w:hanging="360"/>
      </w:pPr>
      <w:rPr>
        <w:rFonts w:ascii="Symbol" w:hAnsi="Symbol"/>
        <w:b/>
        <w:i w:val="0"/>
        <w:sz w:val="18"/>
      </w:rPr>
    </w:lvl>
    <w:lvl w:ilvl="1">
      <w:start w:val="1"/>
      <w:numFmt w:val="bullet"/>
      <w:lvlText w:val=""/>
      <w:lvlJc w:val="left"/>
      <w:pPr>
        <w:tabs>
          <w:tab w:val="num" w:pos="2457"/>
        </w:tabs>
        <w:ind w:left="2457" w:hanging="360"/>
      </w:pPr>
      <w:rPr>
        <w:rFonts w:ascii="Symbol" w:hAnsi="Symbol"/>
        <w:b/>
        <w:i w:val="0"/>
        <w:sz w:val="18"/>
      </w:rPr>
    </w:lvl>
    <w:lvl w:ilvl="2">
      <w:start w:val="1"/>
      <w:numFmt w:val="bullet"/>
      <w:lvlText w:val=""/>
      <w:lvlJc w:val="left"/>
      <w:pPr>
        <w:tabs>
          <w:tab w:val="num" w:pos="3465"/>
        </w:tabs>
        <w:ind w:left="3465" w:hanging="360"/>
      </w:pPr>
      <w:rPr>
        <w:rFonts w:ascii="Symbol" w:hAnsi="Symbol"/>
        <w:b/>
        <w:i w:val="0"/>
        <w:sz w:val="18"/>
      </w:rPr>
    </w:lvl>
    <w:lvl w:ilvl="3">
      <w:start w:val="1"/>
      <w:numFmt w:val="bullet"/>
      <w:lvlText w:val=""/>
      <w:lvlJc w:val="left"/>
      <w:pPr>
        <w:tabs>
          <w:tab w:val="num" w:pos="4473"/>
        </w:tabs>
        <w:ind w:left="4473" w:hanging="360"/>
      </w:pPr>
      <w:rPr>
        <w:rFonts w:ascii="Symbol" w:hAnsi="Symbol"/>
        <w:b/>
        <w:i w:val="0"/>
        <w:sz w:val="18"/>
      </w:rPr>
    </w:lvl>
    <w:lvl w:ilvl="4">
      <w:start w:val="1"/>
      <w:numFmt w:val="bullet"/>
      <w:lvlText w:val=""/>
      <w:lvlJc w:val="left"/>
      <w:pPr>
        <w:tabs>
          <w:tab w:val="num" w:pos="5481"/>
        </w:tabs>
        <w:ind w:left="5481" w:hanging="360"/>
      </w:pPr>
      <w:rPr>
        <w:rFonts w:ascii="Symbol" w:hAnsi="Symbol"/>
        <w:b/>
        <w:i w:val="0"/>
        <w:sz w:val="18"/>
      </w:rPr>
    </w:lvl>
    <w:lvl w:ilvl="5">
      <w:start w:val="1"/>
      <w:numFmt w:val="bullet"/>
      <w:lvlText w:val=""/>
      <w:lvlJc w:val="left"/>
      <w:pPr>
        <w:tabs>
          <w:tab w:val="num" w:pos="6489"/>
        </w:tabs>
        <w:ind w:left="6489" w:hanging="360"/>
      </w:pPr>
      <w:rPr>
        <w:rFonts w:ascii="Symbol" w:hAnsi="Symbol"/>
        <w:b/>
        <w:i w:val="0"/>
        <w:sz w:val="18"/>
      </w:rPr>
    </w:lvl>
    <w:lvl w:ilvl="6">
      <w:start w:val="1"/>
      <w:numFmt w:val="bullet"/>
      <w:lvlText w:val=""/>
      <w:lvlJc w:val="left"/>
      <w:pPr>
        <w:tabs>
          <w:tab w:val="num" w:pos="7497"/>
        </w:tabs>
        <w:ind w:left="7497" w:hanging="360"/>
      </w:pPr>
      <w:rPr>
        <w:rFonts w:ascii="Symbol" w:hAnsi="Symbol"/>
        <w:b/>
        <w:i w:val="0"/>
        <w:sz w:val="18"/>
      </w:rPr>
    </w:lvl>
    <w:lvl w:ilvl="7">
      <w:start w:val="1"/>
      <w:numFmt w:val="bullet"/>
      <w:lvlText w:val=""/>
      <w:lvlJc w:val="left"/>
      <w:pPr>
        <w:tabs>
          <w:tab w:val="num" w:pos="8505"/>
        </w:tabs>
        <w:ind w:left="8505" w:hanging="360"/>
      </w:pPr>
      <w:rPr>
        <w:rFonts w:ascii="Symbol" w:hAnsi="Symbol"/>
        <w:b/>
        <w:i w:val="0"/>
        <w:sz w:val="18"/>
      </w:rPr>
    </w:lvl>
    <w:lvl w:ilvl="8">
      <w:start w:val="1"/>
      <w:numFmt w:val="bullet"/>
      <w:lvlText w:val=""/>
      <w:lvlJc w:val="left"/>
      <w:pPr>
        <w:tabs>
          <w:tab w:val="num" w:pos="9513"/>
        </w:tabs>
        <w:ind w:left="9513" w:hanging="360"/>
      </w:pPr>
      <w:rPr>
        <w:rFonts w:ascii="Symbol" w:hAnsi="Symbol"/>
        <w:b/>
        <w:i w:val="0"/>
        <w:sz w:val="18"/>
      </w:rPr>
    </w:lvl>
  </w:abstractNum>
  <w:abstractNum w:abstractNumId="3"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4" w15:restartNumberingAfterBreak="0">
    <w:nsid w:val="00000013"/>
    <w:multiLevelType w:val="multilevel"/>
    <w:tmpl w:val="00000013"/>
    <w:name w:val="WW8Num19"/>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15:restartNumberingAfterBreak="0">
    <w:nsid w:val="013205D2"/>
    <w:multiLevelType w:val="hybridMultilevel"/>
    <w:tmpl w:val="0AE08A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782317D"/>
    <w:multiLevelType w:val="hybridMultilevel"/>
    <w:tmpl w:val="6D3E7D02"/>
    <w:lvl w:ilvl="0" w:tplc="E654EC1E">
      <w:start w:val="6"/>
      <w:numFmt w:val="decimal"/>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E11CA2"/>
    <w:multiLevelType w:val="hybridMultilevel"/>
    <w:tmpl w:val="4C2EF994"/>
    <w:lvl w:ilvl="0" w:tplc="E84071F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D896D31"/>
    <w:multiLevelType w:val="hybridMultilevel"/>
    <w:tmpl w:val="1186912C"/>
    <w:lvl w:ilvl="0" w:tplc="04150017">
      <w:start w:val="1"/>
      <w:numFmt w:val="lowerLetter"/>
      <w:lvlText w:val="%1)"/>
      <w:lvlJc w:val="left"/>
      <w:pPr>
        <w:ind w:left="1428" w:hanging="360"/>
      </w:pPr>
      <w:rPr>
        <w:rFonts w:cs="Times New Roman"/>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9" w15:restartNumberingAfterBreak="0">
    <w:nsid w:val="10012F7B"/>
    <w:multiLevelType w:val="hybridMultilevel"/>
    <w:tmpl w:val="1CA672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233C59"/>
    <w:multiLevelType w:val="hybridMultilevel"/>
    <w:tmpl w:val="8CECDA9A"/>
    <w:lvl w:ilvl="0" w:tplc="10EA34D8">
      <w:start w:val="1"/>
      <w:numFmt w:val="decimal"/>
      <w:lvlText w:val="%1."/>
      <w:lvlJc w:val="left"/>
      <w:pPr>
        <w:ind w:left="1860" w:hanging="360"/>
      </w:pPr>
      <w:rPr>
        <w:rFonts w:hint="default"/>
      </w:r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11" w15:restartNumberingAfterBreak="0">
    <w:nsid w:val="1203234B"/>
    <w:multiLevelType w:val="hybridMultilevel"/>
    <w:tmpl w:val="D92E64C4"/>
    <w:lvl w:ilvl="0" w:tplc="D0C48C1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4E9549A"/>
    <w:multiLevelType w:val="hybridMultilevel"/>
    <w:tmpl w:val="37BEF7A8"/>
    <w:lvl w:ilvl="0" w:tplc="04150011">
      <w:start w:val="1"/>
      <w:numFmt w:val="decimal"/>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3" w15:restartNumberingAfterBreak="0">
    <w:nsid w:val="168D4F00"/>
    <w:multiLevelType w:val="hybridMultilevel"/>
    <w:tmpl w:val="089ED83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17750F7B"/>
    <w:multiLevelType w:val="hybridMultilevel"/>
    <w:tmpl w:val="3130643A"/>
    <w:lvl w:ilvl="0" w:tplc="1A48AF0E">
      <w:start w:val="2"/>
      <w:numFmt w:val="upperRoman"/>
      <w:lvlText w:val="%1."/>
      <w:lvlJc w:val="right"/>
      <w:pPr>
        <w:ind w:left="90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18B517EF"/>
    <w:multiLevelType w:val="hybridMultilevel"/>
    <w:tmpl w:val="0BB6BD58"/>
    <w:lvl w:ilvl="0" w:tplc="26EA4ADA">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A93666"/>
    <w:multiLevelType w:val="hybridMultilevel"/>
    <w:tmpl w:val="5F9C5B38"/>
    <w:lvl w:ilvl="0" w:tplc="FCE805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057D58"/>
    <w:multiLevelType w:val="hybridMultilevel"/>
    <w:tmpl w:val="6F3007BC"/>
    <w:lvl w:ilvl="0" w:tplc="0916E758">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5A55AA7"/>
    <w:multiLevelType w:val="hybridMultilevel"/>
    <w:tmpl w:val="1CD4352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29096B29"/>
    <w:multiLevelType w:val="hybridMultilevel"/>
    <w:tmpl w:val="1FCE6DB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A14D96"/>
    <w:multiLevelType w:val="hybridMultilevel"/>
    <w:tmpl w:val="90349B6C"/>
    <w:lvl w:ilvl="0" w:tplc="C6F6641E">
      <w:start w:val="4"/>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C7782F"/>
    <w:multiLevelType w:val="hybridMultilevel"/>
    <w:tmpl w:val="1D9E77DE"/>
    <w:lvl w:ilvl="0" w:tplc="15AE2DCA">
      <w:start w:val="1"/>
      <w:numFmt w:val="decimal"/>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EBF2020"/>
    <w:multiLevelType w:val="hybridMultilevel"/>
    <w:tmpl w:val="831670A8"/>
    <w:lvl w:ilvl="0" w:tplc="6BD43344">
      <w:start w:val="3"/>
      <w:numFmt w:val="decimal"/>
      <w:lvlText w:val="%1."/>
      <w:lvlJc w:val="left"/>
      <w:pPr>
        <w:ind w:left="720"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2D023B1"/>
    <w:multiLevelType w:val="hybridMultilevel"/>
    <w:tmpl w:val="A1303D0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44B53E4"/>
    <w:multiLevelType w:val="hybridMultilevel"/>
    <w:tmpl w:val="1B4C859C"/>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5" w15:restartNumberingAfterBreak="0">
    <w:nsid w:val="360E0020"/>
    <w:multiLevelType w:val="hybridMultilevel"/>
    <w:tmpl w:val="75BC23C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48509F24">
      <w:start w:val="1"/>
      <w:numFmt w:val="decimal"/>
      <w:lvlText w:val="%4."/>
      <w:lvlJc w:val="left"/>
      <w:pPr>
        <w:ind w:left="2880" w:hanging="360"/>
      </w:pPr>
      <w:rPr>
        <w:rFonts w:hint="default"/>
        <w:b/>
      </w:rPr>
    </w:lvl>
    <w:lvl w:ilvl="4" w:tplc="A2DC67B2">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3B3F6C"/>
    <w:multiLevelType w:val="hybridMultilevel"/>
    <w:tmpl w:val="0A76AA10"/>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F5B40F5"/>
    <w:multiLevelType w:val="multilevel"/>
    <w:tmpl w:val="A9DE2E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15:restartNumberingAfterBreak="0">
    <w:nsid w:val="45CE3F89"/>
    <w:multiLevelType w:val="hybridMultilevel"/>
    <w:tmpl w:val="A0C0583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489F42D4"/>
    <w:multiLevelType w:val="hybridMultilevel"/>
    <w:tmpl w:val="D4BA634E"/>
    <w:lvl w:ilvl="0" w:tplc="2A603160">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4F762957"/>
    <w:multiLevelType w:val="multilevel"/>
    <w:tmpl w:val="CF86061E"/>
    <w:lvl w:ilvl="0">
      <w:start w:val="1"/>
      <w:numFmt w:val="decimal"/>
      <w:lvlText w:val="%1."/>
      <w:lvlJc w:val="left"/>
      <w:pPr>
        <w:ind w:left="720" w:hanging="360"/>
      </w:pPr>
      <w:rPr>
        <w:rFonts w:cs="Times New Roman"/>
      </w:rPr>
    </w:lvl>
    <w:lvl w:ilvl="1">
      <w:start w:val="6"/>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0F91B59"/>
    <w:multiLevelType w:val="hybridMultilevel"/>
    <w:tmpl w:val="B62086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EF0630"/>
    <w:multiLevelType w:val="hybridMultilevel"/>
    <w:tmpl w:val="303499AC"/>
    <w:lvl w:ilvl="0" w:tplc="0415000F">
      <w:start w:val="1"/>
      <w:numFmt w:val="decimal"/>
      <w:lvlText w:val="%1."/>
      <w:lvlJc w:val="left"/>
      <w:pPr>
        <w:ind w:left="1500" w:hanging="360"/>
      </w:pPr>
      <w:rPr>
        <w:rFonts w:cs="Times New Roman"/>
      </w:rPr>
    </w:lvl>
    <w:lvl w:ilvl="1" w:tplc="04150019" w:tentative="1">
      <w:start w:val="1"/>
      <w:numFmt w:val="lowerLetter"/>
      <w:lvlText w:val="%2."/>
      <w:lvlJc w:val="left"/>
      <w:pPr>
        <w:ind w:left="2220" w:hanging="360"/>
      </w:pPr>
      <w:rPr>
        <w:rFonts w:cs="Times New Roman"/>
      </w:rPr>
    </w:lvl>
    <w:lvl w:ilvl="2" w:tplc="0415001B" w:tentative="1">
      <w:start w:val="1"/>
      <w:numFmt w:val="lowerRoman"/>
      <w:lvlText w:val="%3."/>
      <w:lvlJc w:val="right"/>
      <w:pPr>
        <w:ind w:left="2940" w:hanging="180"/>
      </w:pPr>
      <w:rPr>
        <w:rFonts w:cs="Times New Roman"/>
      </w:rPr>
    </w:lvl>
    <w:lvl w:ilvl="3" w:tplc="0415000F" w:tentative="1">
      <w:start w:val="1"/>
      <w:numFmt w:val="decimal"/>
      <w:lvlText w:val="%4."/>
      <w:lvlJc w:val="left"/>
      <w:pPr>
        <w:ind w:left="3660" w:hanging="360"/>
      </w:pPr>
      <w:rPr>
        <w:rFonts w:cs="Times New Roman"/>
      </w:rPr>
    </w:lvl>
    <w:lvl w:ilvl="4" w:tplc="04150019" w:tentative="1">
      <w:start w:val="1"/>
      <w:numFmt w:val="lowerLetter"/>
      <w:lvlText w:val="%5."/>
      <w:lvlJc w:val="left"/>
      <w:pPr>
        <w:ind w:left="4380" w:hanging="360"/>
      </w:pPr>
      <w:rPr>
        <w:rFonts w:cs="Times New Roman"/>
      </w:rPr>
    </w:lvl>
    <w:lvl w:ilvl="5" w:tplc="0415001B" w:tentative="1">
      <w:start w:val="1"/>
      <w:numFmt w:val="lowerRoman"/>
      <w:lvlText w:val="%6."/>
      <w:lvlJc w:val="right"/>
      <w:pPr>
        <w:ind w:left="5100" w:hanging="180"/>
      </w:pPr>
      <w:rPr>
        <w:rFonts w:cs="Times New Roman"/>
      </w:rPr>
    </w:lvl>
    <w:lvl w:ilvl="6" w:tplc="0415000F" w:tentative="1">
      <w:start w:val="1"/>
      <w:numFmt w:val="decimal"/>
      <w:lvlText w:val="%7."/>
      <w:lvlJc w:val="left"/>
      <w:pPr>
        <w:ind w:left="5820" w:hanging="360"/>
      </w:pPr>
      <w:rPr>
        <w:rFonts w:cs="Times New Roman"/>
      </w:rPr>
    </w:lvl>
    <w:lvl w:ilvl="7" w:tplc="04150019" w:tentative="1">
      <w:start w:val="1"/>
      <w:numFmt w:val="lowerLetter"/>
      <w:lvlText w:val="%8."/>
      <w:lvlJc w:val="left"/>
      <w:pPr>
        <w:ind w:left="6540" w:hanging="360"/>
      </w:pPr>
      <w:rPr>
        <w:rFonts w:cs="Times New Roman"/>
      </w:rPr>
    </w:lvl>
    <w:lvl w:ilvl="8" w:tplc="0415001B" w:tentative="1">
      <w:start w:val="1"/>
      <w:numFmt w:val="lowerRoman"/>
      <w:lvlText w:val="%9."/>
      <w:lvlJc w:val="right"/>
      <w:pPr>
        <w:ind w:left="7260" w:hanging="180"/>
      </w:pPr>
      <w:rPr>
        <w:rFonts w:cs="Times New Roman"/>
      </w:rPr>
    </w:lvl>
  </w:abstractNum>
  <w:abstractNum w:abstractNumId="33" w15:restartNumberingAfterBreak="0">
    <w:nsid w:val="59893877"/>
    <w:multiLevelType w:val="hybridMultilevel"/>
    <w:tmpl w:val="C492AE96"/>
    <w:lvl w:ilvl="0" w:tplc="52502328">
      <w:start w:val="2"/>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491A75"/>
    <w:multiLevelType w:val="hybridMultilevel"/>
    <w:tmpl w:val="13AE6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667AF2"/>
    <w:multiLevelType w:val="hybridMultilevel"/>
    <w:tmpl w:val="30F0AC6C"/>
    <w:lvl w:ilvl="0" w:tplc="04150017">
      <w:start w:val="1"/>
      <w:numFmt w:val="lowerLetter"/>
      <w:lvlText w:val="%1)"/>
      <w:lvlJc w:val="left"/>
      <w:pPr>
        <w:ind w:left="1080" w:hanging="360"/>
      </w:pPr>
      <w:rPr>
        <w:rFonts w:cs="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6A841FAC"/>
    <w:multiLevelType w:val="hybridMultilevel"/>
    <w:tmpl w:val="A92C98A4"/>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7" w15:restartNumberingAfterBreak="0">
    <w:nsid w:val="6BE33277"/>
    <w:multiLevelType w:val="hybridMultilevel"/>
    <w:tmpl w:val="8E888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AD5EAF"/>
    <w:multiLevelType w:val="hybridMultilevel"/>
    <w:tmpl w:val="A71424A6"/>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1F87E18"/>
    <w:multiLevelType w:val="hybridMultilevel"/>
    <w:tmpl w:val="D3329BD0"/>
    <w:lvl w:ilvl="0" w:tplc="CED2D256">
      <w:start w:val="1"/>
      <w:numFmt w:val="decimal"/>
      <w:lvlText w:val="%1."/>
      <w:lvlJc w:val="left"/>
      <w:pPr>
        <w:ind w:left="1068" w:hanging="360"/>
      </w:pPr>
      <w:rPr>
        <w:rFonts w:cs="Times New Roman" w:hint="default"/>
      </w:rPr>
    </w:lvl>
    <w:lvl w:ilvl="1" w:tplc="04150019">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40" w15:restartNumberingAfterBreak="0">
    <w:nsid w:val="73ED29A2"/>
    <w:multiLevelType w:val="hybridMultilevel"/>
    <w:tmpl w:val="E9DE7618"/>
    <w:lvl w:ilvl="0" w:tplc="0415000F">
      <w:start w:val="1"/>
      <w:numFmt w:val="decimal"/>
      <w:lvlText w:val="%1."/>
      <w:lvlJc w:val="left"/>
      <w:pPr>
        <w:ind w:left="1428" w:hanging="360"/>
      </w:p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41" w15:restartNumberingAfterBreak="0">
    <w:nsid w:val="775255E9"/>
    <w:multiLevelType w:val="hybridMultilevel"/>
    <w:tmpl w:val="1C50A12E"/>
    <w:lvl w:ilvl="0" w:tplc="04150017">
      <w:start w:val="1"/>
      <w:numFmt w:val="lowerLetter"/>
      <w:lvlText w:val="%1)"/>
      <w:lvlJc w:val="left"/>
      <w:pPr>
        <w:ind w:left="927" w:hanging="360"/>
      </w:pPr>
      <w:rPr>
        <w:rFonts w:cs="Times New Roman"/>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42" w15:restartNumberingAfterBreak="0">
    <w:nsid w:val="7A1C5BDF"/>
    <w:multiLevelType w:val="hybridMultilevel"/>
    <w:tmpl w:val="F8F208E8"/>
    <w:lvl w:ilvl="0" w:tplc="0916E758">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1"/>
  </w:num>
  <w:num w:numId="2">
    <w:abstractNumId w:val="7"/>
  </w:num>
  <w:num w:numId="3">
    <w:abstractNumId w:val="14"/>
  </w:num>
  <w:num w:numId="4">
    <w:abstractNumId w:val="27"/>
  </w:num>
  <w:num w:numId="5">
    <w:abstractNumId w:val="38"/>
  </w:num>
  <w:num w:numId="6">
    <w:abstractNumId w:val="30"/>
  </w:num>
  <w:num w:numId="7">
    <w:abstractNumId w:val="39"/>
  </w:num>
  <w:num w:numId="8">
    <w:abstractNumId w:val="8"/>
  </w:num>
  <w:num w:numId="9">
    <w:abstractNumId w:val="40"/>
  </w:num>
  <w:num w:numId="10">
    <w:abstractNumId w:val="17"/>
  </w:num>
  <w:num w:numId="11">
    <w:abstractNumId w:val="12"/>
  </w:num>
  <w:num w:numId="12">
    <w:abstractNumId w:val="32"/>
  </w:num>
  <w:num w:numId="13">
    <w:abstractNumId w:val="36"/>
  </w:num>
  <w:num w:numId="14">
    <w:abstractNumId w:val="35"/>
  </w:num>
  <w:num w:numId="15">
    <w:abstractNumId w:val="5"/>
  </w:num>
  <w:num w:numId="16">
    <w:abstractNumId w:val="24"/>
  </w:num>
  <w:num w:numId="17">
    <w:abstractNumId w:val="41"/>
  </w:num>
  <w:num w:numId="18">
    <w:abstractNumId w:val="20"/>
  </w:num>
  <w:num w:numId="19">
    <w:abstractNumId w:val="29"/>
  </w:num>
  <w:num w:numId="20">
    <w:abstractNumId w:val="34"/>
  </w:num>
  <w:num w:numId="21">
    <w:abstractNumId w:val="33"/>
  </w:num>
  <w:num w:numId="22">
    <w:abstractNumId w:val="22"/>
  </w:num>
  <w:num w:numId="23">
    <w:abstractNumId w:val="16"/>
  </w:num>
  <w:num w:numId="24">
    <w:abstractNumId w:val="23"/>
  </w:num>
  <w:num w:numId="25">
    <w:abstractNumId w:val="28"/>
  </w:num>
  <w:num w:numId="26">
    <w:abstractNumId w:val="26"/>
  </w:num>
  <w:num w:numId="27">
    <w:abstractNumId w:val="6"/>
  </w:num>
  <w:num w:numId="28">
    <w:abstractNumId w:val="25"/>
  </w:num>
  <w:num w:numId="29">
    <w:abstractNumId w:val="13"/>
  </w:num>
  <w:num w:numId="30">
    <w:abstractNumId w:val="31"/>
  </w:num>
  <w:num w:numId="31">
    <w:abstractNumId w:val="9"/>
  </w:num>
  <w:num w:numId="32">
    <w:abstractNumId w:val="11"/>
  </w:num>
  <w:num w:numId="33">
    <w:abstractNumId w:val="37"/>
  </w:num>
  <w:num w:numId="34">
    <w:abstractNumId w:val="10"/>
  </w:num>
  <w:num w:numId="35">
    <w:abstractNumId w:val="19"/>
  </w:num>
  <w:num w:numId="36">
    <w:abstractNumId w:val="18"/>
  </w:num>
  <w:num w:numId="37">
    <w:abstractNumId w:val="15"/>
  </w:num>
  <w:num w:numId="38">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5D"/>
    <w:rsid w:val="00020809"/>
    <w:rsid w:val="00031253"/>
    <w:rsid w:val="00036ABE"/>
    <w:rsid w:val="0006244F"/>
    <w:rsid w:val="000642C6"/>
    <w:rsid w:val="00074634"/>
    <w:rsid w:val="000762EE"/>
    <w:rsid w:val="0008104D"/>
    <w:rsid w:val="0008264E"/>
    <w:rsid w:val="00086D6A"/>
    <w:rsid w:val="00094475"/>
    <w:rsid w:val="000A24AE"/>
    <w:rsid w:val="000B6866"/>
    <w:rsid w:val="000C2985"/>
    <w:rsid w:val="000D54C7"/>
    <w:rsid w:val="000D5B39"/>
    <w:rsid w:val="000E3CE2"/>
    <w:rsid w:val="0011348A"/>
    <w:rsid w:val="0011349C"/>
    <w:rsid w:val="00114528"/>
    <w:rsid w:val="0011504B"/>
    <w:rsid w:val="00153BAA"/>
    <w:rsid w:val="00155F35"/>
    <w:rsid w:val="00167325"/>
    <w:rsid w:val="001A0776"/>
    <w:rsid w:val="001A4FB0"/>
    <w:rsid w:val="001B2670"/>
    <w:rsid w:val="001B55EC"/>
    <w:rsid w:val="001B5C97"/>
    <w:rsid w:val="001D1147"/>
    <w:rsid w:val="001D33CB"/>
    <w:rsid w:val="001F7E1B"/>
    <w:rsid w:val="00205373"/>
    <w:rsid w:val="002064F6"/>
    <w:rsid w:val="00211CBE"/>
    <w:rsid w:val="00227CF4"/>
    <w:rsid w:val="0023022A"/>
    <w:rsid w:val="00230875"/>
    <w:rsid w:val="00235E73"/>
    <w:rsid w:val="00237A35"/>
    <w:rsid w:val="00246615"/>
    <w:rsid w:val="002475C6"/>
    <w:rsid w:val="00254244"/>
    <w:rsid w:val="00262A5D"/>
    <w:rsid w:val="00264023"/>
    <w:rsid w:val="0026528E"/>
    <w:rsid w:val="00266869"/>
    <w:rsid w:val="00275BCF"/>
    <w:rsid w:val="00284FE3"/>
    <w:rsid w:val="00292BFF"/>
    <w:rsid w:val="002A09FF"/>
    <w:rsid w:val="002A709A"/>
    <w:rsid w:val="002D1101"/>
    <w:rsid w:val="002D42DF"/>
    <w:rsid w:val="002D4E1D"/>
    <w:rsid w:val="002E0D20"/>
    <w:rsid w:val="002E68D6"/>
    <w:rsid w:val="0030055B"/>
    <w:rsid w:val="0031025C"/>
    <w:rsid w:val="00310D51"/>
    <w:rsid w:val="00326F57"/>
    <w:rsid w:val="00330DC9"/>
    <w:rsid w:val="00340D00"/>
    <w:rsid w:val="00374058"/>
    <w:rsid w:val="00375CFF"/>
    <w:rsid w:val="00377B54"/>
    <w:rsid w:val="003859B9"/>
    <w:rsid w:val="00391DAD"/>
    <w:rsid w:val="003961B1"/>
    <w:rsid w:val="003B513B"/>
    <w:rsid w:val="003B79FC"/>
    <w:rsid w:val="003C0E8A"/>
    <w:rsid w:val="003C4323"/>
    <w:rsid w:val="003C4799"/>
    <w:rsid w:val="003D10EA"/>
    <w:rsid w:val="003D3EFF"/>
    <w:rsid w:val="003E2DDB"/>
    <w:rsid w:val="003F4D45"/>
    <w:rsid w:val="003F5513"/>
    <w:rsid w:val="00405267"/>
    <w:rsid w:val="004202E6"/>
    <w:rsid w:val="004210F3"/>
    <w:rsid w:val="00422DE8"/>
    <w:rsid w:val="00423797"/>
    <w:rsid w:val="00445773"/>
    <w:rsid w:val="00451706"/>
    <w:rsid w:val="00452D46"/>
    <w:rsid w:val="00455FFC"/>
    <w:rsid w:val="004775A4"/>
    <w:rsid w:val="00477DAC"/>
    <w:rsid w:val="00477FD5"/>
    <w:rsid w:val="0048516B"/>
    <w:rsid w:val="00491319"/>
    <w:rsid w:val="004938A4"/>
    <w:rsid w:val="00497085"/>
    <w:rsid w:val="004A07E5"/>
    <w:rsid w:val="004A1719"/>
    <w:rsid w:val="004B1032"/>
    <w:rsid w:val="004B5F5E"/>
    <w:rsid w:val="004C370E"/>
    <w:rsid w:val="004D70F1"/>
    <w:rsid w:val="004D7485"/>
    <w:rsid w:val="004D7904"/>
    <w:rsid w:val="004E25B9"/>
    <w:rsid w:val="004F2724"/>
    <w:rsid w:val="004F438B"/>
    <w:rsid w:val="004F6EE8"/>
    <w:rsid w:val="0050000C"/>
    <w:rsid w:val="00500F44"/>
    <w:rsid w:val="00501703"/>
    <w:rsid w:val="0050408A"/>
    <w:rsid w:val="005047FF"/>
    <w:rsid w:val="00506691"/>
    <w:rsid w:val="00507609"/>
    <w:rsid w:val="0052346A"/>
    <w:rsid w:val="00527133"/>
    <w:rsid w:val="00533895"/>
    <w:rsid w:val="00551413"/>
    <w:rsid w:val="00580023"/>
    <w:rsid w:val="005927A0"/>
    <w:rsid w:val="00597BEF"/>
    <w:rsid w:val="005A2314"/>
    <w:rsid w:val="005A6486"/>
    <w:rsid w:val="005B33AA"/>
    <w:rsid w:val="005C0E6D"/>
    <w:rsid w:val="005D594A"/>
    <w:rsid w:val="005E0447"/>
    <w:rsid w:val="005E33B2"/>
    <w:rsid w:val="005E4E9E"/>
    <w:rsid w:val="005E66C7"/>
    <w:rsid w:val="006105A3"/>
    <w:rsid w:val="006139CB"/>
    <w:rsid w:val="00621AD7"/>
    <w:rsid w:val="00625CCF"/>
    <w:rsid w:val="0062630D"/>
    <w:rsid w:val="00626C32"/>
    <w:rsid w:val="00633E4F"/>
    <w:rsid w:val="006457D0"/>
    <w:rsid w:val="00646939"/>
    <w:rsid w:val="00646E38"/>
    <w:rsid w:val="00651BF9"/>
    <w:rsid w:val="00657383"/>
    <w:rsid w:val="00665F18"/>
    <w:rsid w:val="0067141E"/>
    <w:rsid w:val="00673A98"/>
    <w:rsid w:val="0067778D"/>
    <w:rsid w:val="0068597A"/>
    <w:rsid w:val="00687EFC"/>
    <w:rsid w:val="006A1F31"/>
    <w:rsid w:val="006A38D7"/>
    <w:rsid w:val="006C32AF"/>
    <w:rsid w:val="006C51DB"/>
    <w:rsid w:val="006D1A2F"/>
    <w:rsid w:val="006D5E42"/>
    <w:rsid w:val="006E09A9"/>
    <w:rsid w:val="006E1D47"/>
    <w:rsid w:val="006E5E6E"/>
    <w:rsid w:val="006F371C"/>
    <w:rsid w:val="00701758"/>
    <w:rsid w:val="00715661"/>
    <w:rsid w:val="00721B03"/>
    <w:rsid w:val="00722AD4"/>
    <w:rsid w:val="007251A7"/>
    <w:rsid w:val="0073653A"/>
    <w:rsid w:val="00750145"/>
    <w:rsid w:val="007513C2"/>
    <w:rsid w:val="007613BA"/>
    <w:rsid w:val="00774E17"/>
    <w:rsid w:val="007758B0"/>
    <w:rsid w:val="00781A2F"/>
    <w:rsid w:val="007928F8"/>
    <w:rsid w:val="00796A85"/>
    <w:rsid w:val="007A77BE"/>
    <w:rsid w:val="007B15EF"/>
    <w:rsid w:val="007B3A3A"/>
    <w:rsid w:val="007B6104"/>
    <w:rsid w:val="007D0CB8"/>
    <w:rsid w:val="007D3C16"/>
    <w:rsid w:val="007D7954"/>
    <w:rsid w:val="007E07F2"/>
    <w:rsid w:val="007E1D94"/>
    <w:rsid w:val="00804D9B"/>
    <w:rsid w:val="00806067"/>
    <w:rsid w:val="0081185B"/>
    <w:rsid w:val="008128A7"/>
    <w:rsid w:val="00820CB5"/>
    <w:rsid w:val="0083476F"/>
    <w:rsid w:val="008448AC"/>
    <w:rsid w:val="00850663"/>
    <w:rsid w:val="00874B72"/>
    <w:rsid w:val="00881E92"/>
    <w:rsid w:val="00893A81"/>
    <w:rsid w:val="008B00A0"/>
    <w:rsid w:val="008C0EDE"/>
    <w:rsid w:val="008C323C"/>
    <w:rsid w:val="008D31FB"/>
    <w:rsid w:val="008D7C9C"/>
    <w:rsid w:val="008E1144"/>
    <w:rsid w:val="008E7537"/>
    <w:rsid w:val="008E7B5A"/>
    <w:rsid w:val="008F6C4F"/>
    <w:rsid w:val="009011ED"/>
    <w:rsid w:val="0091574F"/>
    <w:rsid w:val="00916BB4"/>
    <w:rsid w:val="009207AD"/>
    <w:rsid w:val="00932EE1"/>
    <w:rsid w:val="0094639E"/>
    <w:rsid w:val="009526A3"/>
    <w:rsid w:val="0095505B"/>
    <w:rsid w:val="00972225"/>
    <w:rsid w:val="00976E9C"/>
    <w:rsid w:val="009821BD"/>
    <w:rsid w:val="009856A6"/>
    <w:rsid w:val="00993242"/>
    <w:rsid w:val="0099736C"/>
    <w:rsid w:val="009C150D"/>
    <w:rsid w:val="009D52A6"/>
    <w:rsid w:val="009E7025"/>
    <w:rsid w:val="009F0A5C"/>
    <w:rsid w:val="009F11E4"/>
    <w:rsid w:val="009F4B7E"/>
    <w:rsid w:val="00A01015"/>
    <w:rsid w:val="00A0463D"/>
    <w:rsid w:val="00A1250C"/>
    <w:rsid w:val="00A169A4"/>
    <w:rsid w:val="00A2180C"/>
    <w:rsid w:val="00A40DB6"/>
    <w:rsid w:val="00A4635C"/>
    <w:rsid w:val="00A51B82"/>
    <w:rsid w:val="00A51C47"/>
    <w:rsid w:val="00A526D6"/>
    <w:rsid w:val="00A54E7C"/>
    <w:rsid w:val="00A60023"/>
    <w:rsid w:val="00A67D22"/>
    <w:rsid w:val="00A77CC1"/>
    <w:rsid w:val="00A94665"/>
    <w:rsid w:val="00A9694A"/>
    <w:rsid w:val="00AC5434"/>
    <w:rsid w:val="00AE054D"/>
    <w:rsid w:val="00AF19A1"/>
    <w:rsid w:val="00B0148A"/>
    <w:rsid w:val="00B036F5"/>
    <w:rsid w:val="00B05D63"/>
    <w:rsid w:val="00B16944"/>
    <w:rsid w:val="00B269CD"/>
    <w:rsid w:val="00B31953"/>
    <w:rsid w:val="00B336F1"/>
    <w:rsid w:val="00B33EC5"/>
    <w:rsid w:val="00B54DB7"/>
    <w:rsid w:val="00B57868"/>
    <w:rsid w:val="00B57B6E"/>
    <w:rsid w:val="00B67760"/>
    <w:rsid w:val="00B755AC"/>
    <w:rsid w:val="00B8058D"/>
    <w:rsid w:val="00B83C06"/>
    <w:rsid w:val="00B93659"/>
    <w:rsid w:val="00B93B6C"/>
    <w:rsid w:val="00B94A1B"/>
    <w:rsid w:val="00BA6ED5"/>
    <w:rsid w:val="00BB0567"/>
    <w:rsid w:val="00BB4FC7"/>
    <w:rsid w:val="00BB721C"/>
    <w:rsid w:val="00BC792C"/>
    <w:rsid w:val="00BD24C9"/>
    <w:rsid w:val="00BE0D3C"/>
    <w:rsid w:val="00BE4257"/>
    <w:rsid w:val="00BF6119"/>
    <w:rsid w:val="00C002A5"/>
    <w:rsid w:val="00C12952"/>
    <w:rsid w:val="00C15996"/>
    <w:rsid w:val="00C2398F"/>
    <w:rsid w:val="00C23D86"/>
    <w:rsid w:val="00C2418D"/>
    <w:rsid w:val="00C3706E"/>
    <w:rsid w:val="00C40722"/>
    <w:rsid w:val="00C56D2A"/>
    <w:rsid w:val="00C628C9"/>
    <w:rsid w:val="00C72F10"/>
    <w:rsid w:val="00C73474"/>
    <w:rsid w:val="00C76D85"/>
    <w:rsid w:val="00C77916"/>
    <w:rsid w:val="00C80FC2"/>
    <w:rsid w:val="00C845AE"/>
    <w:rsid w:val="00C90A46"/>
    <w:rsid w:val="00CA1095"/>
    <w:rsid w:val="00CA1F64"/>
    <w:rsid w:val="00CB7E69"/>
    <w:rsid w:val="00CC0865"/>
    <w:rsid w:val="00CC422D"/>
    <w:rsid w:val="00CD7BAE"/>
    <w:rsid w:val="00CE0830"/>
    <w:rsid w:val="00CF0592"/>
    <w:rsid w:val="00CF5F5F"/>
    <w:rsid w:val="00D020F6"/>
    <w:rsid w:val="00D12740"/>
    <w:rsid w:val="00D1732E"/>
    <w:rsid w:val="00D257A6"/>
    <w:rsid w:val="00D30F00"/>
    <w:rsid w:val="00D47FE0"/>
    <w:rsid w:val="00D64B5F"/>
    <w:rsid w:val="00D731CE"/>
    <w:rsid w:val="00D73ADD"/>
    <w:rsid w:val="00D85EF0"/>
    <w:rsid w:val="00D924FE"/>
    <w:rsid w:val="00DA3FAE"/>
    <w:rsid w:val="00DA5F79"/>
    <w:rsid w:val="00DB7A7D"/>
    <w:rsid w:val="00DE4706"/>
    <w:rsid w:val="00DE6243"/>
    <w:rsid w:val="00DE6F3A"/>
    <w:rsid w:val="00DF4AEE"/>
    <w:rsid w:val="00DF6CC8"/>
    <w:rsid w:val="00E0684B"/>
    <w:rsid w:val="00E07990"/>
    <w:rsid w:val="00E21713"/>
    <w:rsid w:val="00E225A6"/>
    <w:rsid w:val="00E2361B"/>
    <w:rsid w:val="00E245CF"/>
    <w:rsid w:val="00E2627D"/>
    <w:rsid w:val="00E26443"/>
    <w:rsid w:val="00E31BA8"/>
    <w:rsid w:val="00E33C6B"/>
    <w:rsid w:val="00E3661B"/>
    <w:rsid w:val="00E569EE"/>
    <w:rsid w:val="00E62F3D"/>
    <w:rsid w:val="00E63EE2"/>
    <w:rsid w:val="00E67E20"/>
    <w:rsid w:val="00E71A98"/>
    <w:rsid w:val="00E75C1B"/>
    <w:rsid w:val="00E76179"/>
    <w:rsid w:val="00E922D4"/>
    <w:rsid w:val="00E942C1"/>
    <w:rsid w:val="00EA0582"/>
    <w:rsid w:val="00EA5EC3"/>
    <w:rsid w:val="00EB08F1"/>
    <w:rsid w:val="00EB0E59"/>
    <w:rsid w:val="00EC0F7D"/>
    <w:rsid w:val="00EC47A6"/>
    <w:rsid w:val="00EC7F9E"/>
    <w:rsid w:val="00EE469C"/>
    <w:rsid w:val="00EF21F3"/>
    <w:rsid w:val="00F12498"/>
    <w:rsid w:val="00F16FFA"/>
    <w:rsid w:val="00F21DF3"/>
    <w:rsid w:val="00F30D04"/>
    <w:rsid w:val="00F557CA"/>
    <w:rsid w:val="00F64FAC"/>
    <w:rsid w:val="00F661BE"/>
    <w:rsid w:val="00F717FD"/>
    <w:rsid w:val="00F7766B"/>
    <w:rsid w:val="00F8711D"/>
    <w:rsid w:val="00F87DC3"/>
    <w:rsid w:val="00F94706"/>
    <w:rsid w:val="00FB01E9"/>
    <w:rsid w:val="00FB1F1F"/>
    <w:rsid w:val="00FB7BCB"/>
    <w:rsid w:val="00FC07A1"/>
    <w:rsid w:val="00FC75B9"/>
    <w:rsid w:val="00FD5242"/>
    <w:rsid w:val="00FE2E5B"/>
    <w:rsid w:val="00FE3FC3"/>
    <w:rsid w:val="00FF0047"/>
    <w:rsid w:val="00FF48A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D88F79A-FDA8-4AE9-B9C4-03BF1B23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4A1B"/>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262A5D"/>
    <w:rPr>
      <w:rFonts w:cs="Times New Roman"/>
      <w:color w:val="0000FF"/>
      <w:u w:val="single"/>
    </w:rPr>
  </w:style>
  <w:style w:type="paragraph" w:styleId="Akapitzlist">
    <w:name w:val="List Paragraph"/>
    <w:basedOn w:val="Normalny"/>
    <w:uiPriority w:val="99"/>
    <w:qFormat/>
    <w:rsid w:val="00E21713"/>
    <w:pPr>
      <w:ind w:left="720"/>
      <w:contextualSpacing/>
    </w:pPr>
  </w:style>
  <w:style w:type="table" w:styleId="Tabela-Siatka">
    <w:name w:val="Table Grid"/>
    <w:basedOn w:val="Standardowy"/>
    <w:uiPriority w:val="99"/>
    <w:rsid w:val="00275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E2644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26443"/>
    <w:rPr>
      <w:rFonts w:ascii="Segoe UI" w:hAnsi="Segoe UI" w:cs="Segoe UI"/>
      <w:sz w:val="18"/>
      <w:szCs w:val="18"/>
    </w:rPr>
  </w:style>
  <w:style w:type="table" w:customStyle="1" w:styleId="Tabela-Siatka1">
    <w:name w:val="Tabela - Siatka1"/>
    <w:uiPriority w:val="99"/>
    <w:rsid w:val="0006244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4D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4D70F1"/>
    <w:rPr>
      <w:rFonts w:cs="Times New Roman"/>
    </w:rPr>
  </w:style>
  <w:style w:type="paragraph" w:styleId="Stopka">
    <w:name w:val="footer"/>
    <w:basedOn w:val="Normalny"/>
    <w:link w:val="StopkaZnak"/>
    <w:uiPriority w:val="99"/>
    <w:rsid w:val="004D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4D70F1"/>
    <w:rPr>
      <w:rFonts w:cs="Times New Roman"/>
    </w:rPr>
  </w:style>
  <w:style w:type="paragraph" w:styleId="Tekstpodstawowywcity2">
    <w:name w:val="Body Text Indent 2"/>
    <w:basedOn w:val="Normalny"/>
    <w:link w:val="Tekstpodstawowywcity2Znak"/>
    <w:uiPriority w:val="99"/>
    <w:rsid w:val="0068597A"/>
    <w:pPr>
      <w:spacing w:after="0" w:line="360" w:lineRule="auto"/>
      <w:ind w:left="357" w:hanging="357"/>
      <w:jc w:val="both"/>
    </w:pPr>
    <w:rPr>
      <w:rFonts w:ascii="Times New Roman" w:eastAsia="Times New Roman" w:hAnsi="Times New Roman"/>
      <w:sz w:val="26"/>
      <w:szCs w:val="20"/>
      <w:lang w:eastAsia="pl-PL"/>
    </w:rPr>
  </w:style>
  <w:style w:type="character" w:customStyle="1" w:styleId="Tekstpodstawowywcity2Znak">
    <w:name w:val="Tekst podstawowy wcięty 2 Znak"/>
    <w:basedOn w:val="Domylnaczcionkaakapitu"/>
    <w:link w:val="Tekstpodstawowywcity2"/>
    <w:uiPriority w:val="99"/>
    <w:locked/>
    <w:rsid w:val="0068597A"/>
    <w:rPr>
      <w:rFonts w:ascii="Times New Roman" w:hAnsi="Times New Roman" w:cs="Times New Roman"/>
      <w:sz w:val="20"/>
      <w:szCs w:val="20"/>
    </w:rPr>
  </w:style>
  <w:style w:type="paragraph" w:styleId="Tekstpodstawowywcity3">
    <w:name w:val="Body Text Indent 3"/>
    <w:basedOn w:val="Normalny"/>
    <w:link w:val="Tekstpodstawowywcity3Znak"/>
    <w:uiPriority w:val="99"/>
    <w:rsid w:val="0068597A"/>
    <w:pPr>
      <w:spacing w:after="0" w:line="360" w:lineRule="atLeast"/>
      <w:ind w:left="284"/>
      <w:jc w:val="both"/>
    </w:pPr>
    <w:rPr>
      <w:rFonts w:ascii="Times New Roman" w:eastAsia="Times New Roman" w:hAnsi="Times New Roman"/>
      <w:sz w:val="26"/>
      <w:szCs w:val="20"/>
      <w:lang w:eastAsia="pl-PL"/>
    </w:rPr>
  </w:style>
  <w:style w:type="character" w:customStyle="1" w:styleId="Tekstpodstawowywcity3Znak">
    <w:name w:val="Tekst podstawowy wcięty 3 Znak"/>
    <w:basedOn w:val="Domylnaczcionkaakapitu"/>
    <w:link w:val="Tekstpodstawowywcity3"/>
    <w:uiPriority w:val="99"/>
    <w:locked/>
    <w:rsid w:val="0068597A"/>
    <w:rPr>
      <w:rFonts w:ascii="Times New Roman" w:hAnsi="Times New Roman" w:cs="Times New Roman"/>
      <w:sz w:val="20"/>
      <w:szCs w:val="20"/>
      <w:lang w:eastAsia="pl-PL"/>
    </w:rPr>
  </w:style>
  <w:style w:type="paragraph" w:customStyle="1" w:styleId="Default">
    <w:name w:val="Default"/>
    <w:rsid w:val="00B57B6E"/>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485504">
      <w:marLeft w:val="0"/>
      <w:marRight w:val="0"/>
      <w:marTop w:val="0"/>
      <w:marBottom w:val="0"/>
      <w:divBdr>
        <w:top w:val="none" w:sz="0" w:space="0" w:color="auto"/>
        <w:left w:val="none" w:sz="0" w:space="0" w:color="auto"/>
        <w:bottom w:val="none" w:sz="0" w:space="0" w:color="auto"/>
        <w:right w:val="none" w:sz="0" w:space="0" w:color="auto"/>
      </w:divBdr>
    </w:div>
    <w:div w:id="776485505">
      <w:marLeft w:val="0"/>
      <w:marRight w:val="0"/>
      <w:marTop w:val="0"/>
      <w:marBottom w:val="0"/>
      <w:divBdr>
        <w:top w:val="none" w:sz="0" w:space="0" w:color="auto"/>
        <w:left w:val="none" w:sz="0" w:space="0" w:color="auto"/>
        <w:bottom w:val="none" w:sz="0" w:space="0" w:color="auto"/>
        <w:right w:val="none" w:sz="0" w:space="0" w:color="auto"/>
      </w:divBdr>
    </w:div>
    <w:div w:id="776485506">
      <w:marLeft w:val="0"/>
      <w:marRight w:val="0"/>
      <w:marTop w:val="0"/>
      <w:marBottom w:val="0"/>
      <w:divBdr>
        <w:top w:val="none" w:sz="0" w:space="0" w:color="auto"/>
        <w:left w:val="none" w:sz="0" w:space="0" w:color="auto"/>
        <w:bottom w:val="none" w:sz="0" w:space="0" w:color="auto"/>
        <w:right w:val="none" w:sz="0" w:space="0" w:color="auto"/>
      </w:divBdr>
    </w:div>
    <w:div w:id="776485507">
      <w:marLeft w:val="0"/>
      <w:marRight w:val="0"/>
      <w:marTop w:val="0"/>
      <w:marBottom w:val="0"/>
      <w:divBdr>
        <w:top w:val="none" w:sz="0" w:space="0" w:color="auto"/>
        <w:left w:val="none" w:sz="0" w:space="0" w:color="auto"/>
        <w:bottom w:val="none" w:sz="0" w:space="0" w:color="auto"/>
        <w:right w:val="none" w:sz="0" w:space="0" w:color="auto"/>
      </w:divBdr>
    </w:div>
    <w:div w:id="776485508">
      <w:marLeft w:val="0"/>
      <w:marRight w:val="0"/>
      <w:marTop w:val="0"/>
      <w:marBottom w:val="0"/>
      <w:divBdr>
        <w:top w:val="none" w:sz="0" w:space="0" w:color="auto"/>
        <w:left w:val="none" w:sz="0" w:space="0" w:color="auto"/>
        <w:bottom w:val="none" w:sz="0" w:space="0" w:color="auto"/>
        <w:right w:val="none" w:sz="0" w:space="0" w:color="auto"/>
      </w:divBdr>
    </w:div>
    <w:div w:id="776485509">
      <w:marLeft w:val="0"/>
      <w:marRight w:val="0"/>
      <w:marTop w:val="0"/>
      <w:marBottom w:val="0"/>
      <w:divBdr>
        <w:top w:val="none" w:sz="0" w:space="0" w:color="auto"/>
        <w:left w:val="none" w:sz="0" w:space="0" w:color="auto"/>
        <w:bottom w:val="none" w:sz="0" w:space="0" w:color="auto"/>
        <w:right w:val="none" w:sz="0" w:space="0" w:color="auto"/>
      </w:divBdr>
    </w:div>
    <w:div w:id="776485510">
      <w:marLeft w:val="0"/>
      <w:marRight w:val="0"/>
      <w:marTop w:val="0"/>
      <w:marBottom w:val="0"/>
      <w:divBdr>
        <w:top w:val="none" w:sz="0" w:space="0" w:color="auto"/>
        <w:left w:val="none" w:sz="0" w:space="0" w:color="auto"/>
        <w:bottom w:val="none" w:sz="0" w:space="0" w:color="auto"/>
        <w:right w:val="none" w:sz="0" w:space="0" w:color="auto"/>
      </w:divBdr>
    </w:div>
    <w:div w:id="7764855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8554</Words>
  <Characters>51329</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CENTRUM UBEZPIECZEN</Company>
  <LinksUpToDate>false</LinksUpToDate>
  <CharactersWithSpaces>59764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ADMIN</dc:creator>
  <cp:keywords/>
  <dc:description/>
  <cp:lastModifiedBy>Paweł Mroczek</cp:lastModifiedBy>
  <cp:revision>3</cp:revision>
  <cp:lastPrinted>2019-11-28T09:59:00Z</cp:lastPrinted>
  <dcterms:created xsi:type="dcterms:W3CDTF">2019-12-22T20:55:00Z</dcterms:created>
  <dcterms:modified xsi:type="dcterms:W3CDTF">2019-12-23T06:33:00Z</dcterms:modified>
</cp:coreProperties>
</file>