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621" w:rsidRPr="003A7FCA" w:rsidRDefault="003A7FCA" w:rsidP="003A7FCA">
      <w:pPr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FCA">
        <w:rPr>
          <w:rFonts w:ascii="Times New Roman" w:hAnsi="Times New Roman" w:cs="Times New Roman"/>
          <w:b/>
          <w:sz w:val="24"/>
          <w:szCs w:val="24"/>
        </w:rPr>
        <w:t>Wszyscy potencjalni Wykonawcy</w:t>
      </w:r>
      <w:r w:rsidR="00C65621" w:rsidRPr="003A7FCA">
        <w:rPr>
          <w:rFonts w:ascii="Times New Roman" w:hAnsi="Times New Roman" w:cs="Times New Roman"/>
          <w:b/>
          <w:sz w:val="24"/>
          <w:szCs w:val="24"/>
        </w:rPr>
        <w:tab/>
      </w:r>
      <w:r w:rsidR="00C65621" w:rsidRPr="003A7FCA">
        <w:rPr>
          <w:rFonts w:ascii="Times New Roman" w:hAnsi="Times New Roman" w:cs="Times New Roman"/>
          <w:b/>
          <w:sz w:val="24"/>
          <w:szCs w:val="24"/>
        </w:rPr>
        <w:tab/>
      </w:r>
    </w:p>
    <w:p w:rsidR="00C65621" w:rsidRDefault="00C65621" w:rsidP="00C656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 nawiązaniu do pytań złożonych przez jednego z oferentów w związku </w:t>
      </w:r>
      <w:r w:rsidR="003A7FC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ogłoszonym postępowaniem na „</w:t>
      </w:r>
      <w:r w:rsidRPr="00483F1D">
        <w:rPr>
          <w:rFonts w:ascii="Times New Roman" w:hAnsi="Times New Roman" w:cs="Times New Roman"/>
          <w:sz w:val="24"/>
          <w:szCs w:val="24"/>
        </w:rPr>
        <w:t>Kompleksow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483F1D">
        <w:rPr>
          <w:rFonts w:ascii="Times New Roman" w:hAnsi="Times New Roman" w:cs="Times New Roman"/>
          <w:sz w:val="24"/>
          <w:szCs w:val="24"/>
        </w:rPr>
        <w:t xml:space="preserve"> obsług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483F1D">
        <w:rPr>
          <w:rFonts w:ascii="Times New Roman" w:hAnsi="Times New Roman" w:cs="Times New Roman"/>
          <w:sz w:val="24"/>
          <w:szCs w:val="24"/>
        </w:rPr>
        <w:t xml:space="preserve"> przez okres 24 miesięcy systemu urządzeń drukujących Starostwa Powiatowego w Ostrowcu Świętokrzyskim</w:t>
      </w:r>
      <w:r>
        <w:rPr>
          <w:rFonts w:ascii="Times New Roman" w:hAnsi="Times New Roman" w:cs="Times New Roman"/>
          <w:sz w:val="24"/>
          <w:szCs w:val="24"/>
        </w:rPr>
        <w:t xml:space="preserve"> ul. Iłżecka 37 </w:t>
      </w:r>
      <w:r>
        <w:rPr>
          <w:rFonts w:ascii="Times New Roman" w:hAnsi="Times New Roman" w:cs="Times New Roman"/>
          <w:sz w:val="24"/>
          <w:szCs w:val="24"/>
        </w:rPr>
        <w:br/>
        <w:t xml:space="preserve">i Wardyńskiego 1” Wydział Organizacyjny przesyła odpowiedzi </w:t>
      </w:r>
      <w:r w:rsidR="003A7FCA">
        <w:rPr>
          <w:rFonts w:ascii="Times New Roman" w:hAnsi="Times New Roman" w:cs="Times New Roman"/>
          <w:sz w:val="24"/>
          <w:szCs w:val="24"/>
        </w:rPr>
        <w:t>na tle zadanych  pytań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jc w:val="both"/>
        <w:rPr>
          <w:rFonts w:ascii="Garamond-Italic" w:hAnsi="Garamond-Italic" w:cs="Garamond-Italic"/>
          <w:i/>
          <w:iCs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 xml:space="preserve">1. Czy z uwagi mającą zostać implementowaną w </w:t>
      </w:r>
      <w:r>
        <w:rPr>
          <w:rFonts w:ascii="Garamond-Italic" w:hAnsi="Garamond-Italic" w:cs="Garamond-Italic"/>
          <w:i/>
          <w:iCs/>
          <w:color w:val="000000"/>
          <w:sz w:val="20"/>
          <w:szCs w:val="20"/>
        </w:rPr>
        <w:t>dniu 25 maja 2018 r. tzw.:” ustawę o RODO</w:t>
      </w:r>
      <w:r>
        <w:rPr>
          <w:rFonts w:ascii="Garamond" w:hAnsi="Garamond" w:cs="Garamond"/>
          <w:color w:val="000000"/>
          <w:sz w:val="20"/>
          <w:szCs w:val="20"/>
        </w:rPr>
        <w:t xml:space="preserve">” oraz zmianę </w:t>
      </w:r>
      <w:r>
        <w:rPr>
          <w:rFonts w:ascii="Garamond-Italic" w:hAnsi="Garamond-Italic" w:cs="Garamond-Italic"/>
          <w:i/>
          <w:iCs/>
          <w:color w:val="000000"/>
          <w:sz w:val="20"/>
          <w:szCs w:val="20"/>
        </w:rPr>
        <w:t xml:space="preserve">ustawy </w:t>
      </w:r>
      <w:proofErr w:type="spellStart"/>
      <w:r>
        <w:rPr>
          <w:rFonts w:ascii="Garamond-Italic" w:hAnsi="Garamond-Italic" w:cs="Garamond-Italic"/>
          <w:i/>
          <w:iCs/>
          <w:color w:val="000000"/>
          <w:sz w:val="20"/>
          <w:szCs w:val="20"/>
        </w:rPr>
        <w:t>zdnia</w:t>
      </w:r>
      <w:proofErr w:type="spellEnd"/>
      <w:r>
        <w:rPr>
          <w:rFonts w:ascii="Garamond-Italic" w:hAnsi="Garamond-Italic" w:cs="Garamond-Italic"/>
          <w:i/>
          <w:iCs/>
          <w:color w:val="000000"/>
          <w:sz w:val="20"/>
          <w:szCs w:val="20"/>
        </w:rPr>
        <w:t xml:space="preserve"> 5 sierpnia 2010 roku o ochronie dostępu do informacji niejawnych </w:t>
      </w:r>
      <w:r>
        <w:rPr>
          <w:rFonts w:ascii="Garamond" w:hAnsi="Garamond" w:cs="Garamond"/>
          <w:color w:val="000000"/>
          <w:sz w:val="20"/>
          <w:szCs w:val="20"/>
        </w:rPr>
        <w:t xml:space="preserve">a w szczególności na podstawie art. 55 i inne - cytowanej ustawy o ochronie dostępu do informacji niejawnych jak i na podstawie rozporządzeń wykonawczych </w:t>
      </w:r>
      <w:proofErr w:type="spellStart"/>
      <w:r>
        <w:rPr>
          <w:rFonts w:ascii="Garamond" w:hAnsi="Garamond" w:cs="Garamond"/>
          <w:color w:val="000000"/>
          <w:sz w:val="20"/>
          <w:szCs w:val="20"/>
        </w:rPr>
        <w:t>doustawy</w:t>
      </w:r>
      <w:proofErr w:type="spellEnd"/>
      <w:r>
        <w:rPr>
          <w:rFonts w:ascii="Garamond" w:hAnsi="Garamond" w:cs="Garamond"/>
          <w:color w:val="000000"/>
          <w:sz w:val="20"/>
          <w:szCs w:val="20"/>
        </w:rPr>
        <w:t xml:space="preserve"> o RODO i rozporządzeń zmieniających - Zamawiający będzie </w:t>
      </w:r>
      <w:r>
        <w:rPr>
          <w:rFonts w:ascii="Garamond-Italic" w:hAnsi="Garamond-Italic" w:cs="Garamond-Italic"/>
          <w:i/>
          <w:iCs/>
          <w:color w:val="000000"/>
          <w:sz w:val="20"/>
          <w:szCs w:val="20"/>
        </w:rPr>
        <w:t xml:space="preserve">żądał od Oferentów </w:t>
      </w:r>
      <w:r>
        <w:rPr>
          <w:rFonts w:ascii="Garamond-Italic" w:hAnsi="Garamond-Italic" w:cs="Garamond-Italic"/>
          <w:i/>
          <w:iCs/>
          <w:color w:val="000000"/>
          <w:sz w:val="20"/>
          <w:szCs w:val="20"/>
        </w:rPr>
        <w:br/>
        <w:t>(obligatoryjnie – jako wymóg formalny udziału w postępowaniu )</w:t>
      </w:r>
      <w:r>
        <w:rPr>
          <w:rFonts w:ascii="Garamond" w:hAnsi="Garamond" w:cs="Garamond"/>
          <w:color w:val="000000"/>
          <w:sz w:val="20"/>
          <w:szCs w:val="20"/>
        </w:rPr>
        <w:t xml:space="preserve">- dokumentu poświadczającego zdolność przedsiębiorcy do zapewnienia ochronę informacji niejawnych, przed nieuprawnionym ujawnieniem w związku z realizacją przedmiotowej umowy lub zadań w celu wykonania postępowania- tj. wydany zgodnie z treścią </w:t>
      </w:r>
      <w:r>
        <w:rPr>
          <w:rFonts w:ascii="Garamond-Italic" w:hAnsi="Garamond-Italic" w:cs="Garamond-Italic"/>
          <w:i/>
          <w:iCs/>
          <w:color w:val="000000"/>
          <w:sz w:val="20"/>
          <w:szCs w:val="20"/>
        </w:rPr>
        <w:t xml:space="preserve">art.55 ust 1-2 w/w </w:t>
      </w:r>
      <w:r>
        <w:rPr>
          <w:rFonts w:ascii="Garamond" w:hAnsi="Garamond" w:cs="Garamond"/>
          <w:color w:val="000000"/>
          <w:sz w:val="20"/>
          <w:szCs w:val="20"/>
        </w:rPr>
        <w:t xml:space="preserve">ustawy dokument w postaci - </w:t>
      </w:r>
      <w:r>
        <w:rPr>
          <w:rFonts w:ascii="Garamond-Bold" w:hAnsi="Garamond-Bold" w:cs="Garamond-Bold"/>
          <w:b/>
          <w:bCs/>
          <w:color w:val="000000"/>
          <w:sz w:val="20"/>
          <w:szCs w:val="20"/>
        </w:rPr>
        <w:t>świadectwa bezpieczeństwa przemysłowego</w:t>
      </w:r>
      <w:r>
        <w:rPr>
          <w:rFonts w:ascii="Garamond-Italic" w:hAnsi="Garamond-Italic" w:cs="Garamond-Italic"/>
          <w:i/>
          <w:iCs/>
          <w:color w:val="000000"/>
          <w:sz w:val="20"/>
          <w:szCs w:val="20"/>
        </w:rPr>
        <w:t xml:space="preserve">(uzyskany przez potencjalnego Oferenta w dowolnym chociażby najniższym </w:t>
      </w:r>
      <w:proofErr w:type="spellStart"/>
      <w:r>
        <w:rPr>
          <w:rFonts w:ascii="Garamond-Italic" w:hAnsi="Garamond-Italic" w:cs="Garamond-Italic"/>
          <w:i/>
          <w:iCs/>
          <w:color w:val="000000"/>
          <w:sz w:val="20"/>
          <w:szCs w:val="20"/>
        </w:rPr>
        <w:t>tj.trzecim</w:t>
      </w:r>
      <w:proofErr w:type="spellEnd"/>
      <w:r>
        <w:rPr>
          <w:rFonts w:ascii="Garamond-Italic" w:hAnsi="Garamond-Italic" w:cs="Garamond-Italic"/>
          <w:i/>
          <w:iCs/>
          <w:color w:val="000000"/>
          <w:sz w:val="20"/>
          <w:szCs w:val="20"/>
        </w:rPr>
        <w:t xml:space="preserve"> stopniu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Specyfika jednostki Zamawiającego, fakt przetwarzania informacji niejawnych oraz zmiany legislacyjne, jak również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wykonywanie usług serwisowych urządzeń drukujących w ramach przedmiotowego zamówienia, posiadających w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dużej mierze możliwość gromadzenia na swoich nośnikach treści informacji w tym oczywiście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 xml:space="preserve">informacji niejawnych </w:t>
      </w:r>
      <w:r>
        <w:rPr>
          <w:rFonts w:ascii="Garamond-Italic" w:hAnsi="Garamond-Italic" w:cs="Garamond-Italic"/>
          <w:i/>
          <w:iCs/>
          <w:color w:val="000000"/>
          <w:sz w:val="20"/>
          <w:szCs w:val="20"/>
        </w:rPr>
        <w:t>(zapisywanych zarówno w procesie kopiowania, skanowania jak i drukowania)</w:t>
      </w:r>
      <w:r>
        <w:rPr>
          <w:rFonts w:ascii="Garamond" w:hAnsi="Garamond" w:cs="Garamond"/>
          <w:color w:val="000000"/>
          <w:sz w:val="20"/>
          <w:szCs w:val="20"/>
        </w:rPr>
        <w:t xml:space="preserve">uzasadnia oprócz posiadania przez potencjalnego Wykonawcę wdrożonego systemu zarządzania bezpieczeństwem w standaryzacji ISO, również konieczność posiadania przedmiotowego wydanego w myśl </w:t>
      </w:r>
      <w:r>
        <w:rPr>
          <w:rFonts w:ascii="Garamond-Italic" w:hAnsi="Garamond-Italic" w:cs="Garamond-Italic"/>
          <w:i/>
          <w:iCs/>
          <w:color w:val="000000"/>
          <w:sz w:val="20"/>
          <w:szCs w:val="20"/>
        </w:rPr>
        <w:t>ustawy o ochronie informacji niejawnych</w:t>
      </w:r>
      <w:r>
        <w:rPr>
          <w:rFonts w:ascii="Garamond" w:hAnsi="Garamond" w:cs="Garamond"/>
          <w:color w:val="000000"/>
          <w:sz w:val="20"/>
          <w:szCs w:val="20"/>
        </w:rPr>
        <w:t>, co stanowi w świetle rygorystycznie zmieniającej się legislacji dodatkowe zabezpieczenie wpisane w plan polityki bezpieczeństwa funkcjonującej i opisanej u Zamawiającego.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</w:p>
    <w:p w:rsidR="003A7FCA" w:rsidRPr="003A7FCA" w:rsidRDefault="003A7FCA" w:rsidP="003A7FCA">
      <w:pPr>
        <w:jc w:val="both"/>
        <w:rPr>
          <w:rFonts w:ascii="Times New Roman" w:hAnsi="Times New Roman" w:cs="Times New Roman"/>
          <w:b/>
        </w:rPr>
      </w:pPr>
      <w:r w:rsidRPr="003A7FCA">
        <w:rPr>
          <w:rFonts w:ascii="Times New Roman" w:hAnsi="Times New Roman" w:cs="Times New Roman"/>
          <w:b/>
        </w:rPr>
        <w:t>Ad. 1</w:t>
      </w:r>
    </w:p>
    <w:p w:rsidR="003A7FCA" w:rsidRPr="003A7FCA" w:rsidRDefault="003A7FCA" w:rsidP="003A7FCA">
      <w:pPr>
        <w:jc w:val="both"/>
        <w:rPr>
          <w:rFonts w:ascii="Times New Roman" w:hAnsi="Times New Roman" w:cs="Times New Roman"/>
        </w:rPr>
      </w:pPr>
      <w:r w:rsidRPr="003A7FCA">
        <w:rPr>
          <w:rFonts w:ascii="Times New Roman" w:hAnsi="Times New Roman" w:cs="Times New Roman"/>
        </w:rPr>
        <w:t>Zamawiający nie będzie wymagał od Oferentów zaktualizowanej normy.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 xml:space="preserve">2. Czy z uwagi mającą zostać implementowaną w </w:t>
      </w:r>
      <w:r>
        <w:rPr>
          <w:rFonts w:ascii="Garamond-Italic" w:hAnsi="Garamond-Italic" w:cs="Garamond-Italic"/>
          <w:i/>
          <w:iCs/>
          <w:color w:val="000000"/>
          <w:sz w:val="20"/>
          <w:szCs w:val="20"/>
        </w:rPr>
        <w:t>dniu 25 maja 2018 r. tzw.:” ustawę o RODO</w:t>
      </w:r>
      <w:r>
        <w:rPr>
          <w:rFonts w:ascii="Garamond" w:hAnsi="Garamond" w:cs="Garamond"/>
          <w:color w:val="000000"/>
          <w:sz w:val="20"/>
          <w:szCs w:val="20"/>
        </w:rPr>
        <w:t>” Zamawiający nie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będzie wymagał od Zamawiającego posiadania wdrożonego w Przedsiębiorstwie , Oferenta systemu bezpieczeństwa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zarządzania informacjami zgodnego z normą ISO PN/EN ISO/IEC 27001:2014-2018 ,zamiast normy 9001:2009-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 xml:space="preserve">2015 potwierdzonego certyfikatem wdrożenia , przez organ uprawniony do wykonania procedury audytu ? </w:t>
      </w:r>
      <w:r>
        <w:rPr>
          <w:rFonts w:ascii="Garamond" w:hAnsi="Garamond" w:cs="Garamond"/>
          <w:color w:val="222222"/>
          <w:sz w:val="20"/>
          <w:szCs w:val="20"/>
        </w:rPr>
        <w:t>Wymaganie to jest istotne również z faktu</w:t>
      </w:r>
      <w:r>
        <w:rPr>
          <w:rFonts w:ascii="Garamond" w:hAnsi="Garamond" w:cs="Garamond"/>
          <w:color w:val="000000"/>
          <w:sz w:val="20"/>
          <w:szCs w:val="20"/>
        </w:rPr>
        <w:t>, iż Zamawiający posiada urządzenia drukujące wyposażone w dyski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Twarde.</w:t>
      </w:r>
    </w:p>
    <w:p w:rsidR="003A7FCA" w:rsidRP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:rsidR="003A7FCA" w:rsidRPr="003A7FCA" w:rsidRDefault="003A7FCA" w:rsidP="003A7FCA">
      <w:pPr>
        <w:jc w:val="both"/>
        <w:rPr>
          <w:rFonts w:ascii="Times New Roman" w:hAnsi="Times New Roman" w:cs="Times New Roman"/>
          <w:b/>
        </w:rPr>
      </w:pPr>
      <w:r w:rsidRPr="003A7FCA">
        <w:rPr>
          <w:rFonts w:ascii="Times New Roman" w:hAnsi="Times New Roman" w:cs="Times New Roman"/>
          <w:b/>
        </w:rPr>
        <w:t>Ad. 2</w:t>
      </w:r>
    </w:p>
    <w:p w:rsidR="003A7FCA" w:rsidRPr="003A7FCA" w:rsidRDefault="003A7FCA" w:rsidP="003A7FCA">
      <w:pPr>
        <w:jc w:val="both"/>
        <w:rPr>
          <w:rFonts w:ascii="Garamond" w:hAnsi="Garamond" w:cs="Garamond"/>
          <w:color w:val="000000"/>
        </w:rPr>
      </w:pPr>
      <w:r w:rsidRPr="003A7FCA">
        <w:rPr>
          <w:rFonts w:ascii="Times New Roman" w:hAnsi="Times New Roman" w:cs="Times New Roman"/>
        </w:rPr>
        <w:t>Nie.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 xml:space="preserve">3. Czy oferowane przez Wykonawcę oprogramowanie musi mieć możliwość odczytu plików w standardzie SOAP, MARS, MARVEL (HP), LEDM, PML oraz posiadać możliwość odczytu zbieranych informacji z urządzeń drukujących Zamawiającego tekstem otwartym (skrypt otwarty) JSON / ASCII, </w:t>
      </w:r>
      <w:proofErr w:type="spellStart"/>
      <w:r>
        <w:rPr>
          <w:rFonts w:ascii="Garamond" w:hAnsi="Garamond" w:cs="Garamond"/>
          <w:color w:val="000000"/>
          <w:sz w:val="20"/>
          <w:szCs w:val="20"/>
        </w:rPr>
        <w:t>BigEndianUnicode</w:t>
      </w:r>
      <w:proofErr w:type="spellEnd"/>
      <w:r>
        <w:rPr>
          <w:rFonts w:ascii="Garamond" w:hAnsi="Garamond" w:cs="Garamond"/>
          <w:color w:val="000000"/>
          <w:sz w:val="20"/>
          <w:szCs w:val="20"/>
        </w:rPr>
        <w:t xml:space="preserve">, </w:t>
      </w:r>
      <w:proofErr w:type="spellStart"/>
      <w:r>
        <w:rPr>
          <w:rFonts w:ascii="Garamond" w:hAnsi="Garamond" w:cs="Garamond"/>
          <w:color w:val="000000"/>
          <w:sz w:val="20"/>
          <w:szCs w:val="20"/>
        </w:rPr>
        <w:t>Unicode</w:t>
      </w:r>
      <w:proofErr w:type="spellEnd"/>
      <w:r>
        <w:rPr>
          <w:rFonts w:ascii="Garamond" w:hAnsi="Garamond" w:cs="Garamond"/>
          <w:color w:val="000000"/>
          <w:sz w:val="20"/>
          <w:szCs w:val="20"/>
        </w:rPr>
        <w:t>, UTF32, UTF7, UTF8.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</w:p>
    <w:p w:rsidR="003A7FCA" w:rsidRPr="003A7FCA" w:rsidRDefault="003A7FCA" w:rsidP="003A7FCA">
      <w:pPr>
        <w:jc w:val="both"/>
        <w:rPr>
          <w:rFonts w:ascii="Times New Roman" w:hAnsi="Times New Roman" w:cs="Times New Roman"/>
          <w:b/>
        </w:rPr>
      </w:pPr>
      <w:r w:rsidRPr="003A7FCA">
        <w:rPr>
          <w:rFonts w:ascii="Times New Roman" w:hAnsi="Times New Roman" w:cs="Times New Roman"/>
          <w:b/>
        </w:rPr>
        <w:t>Ad. 3</w:t>
      </w:r>
    </w:p>
    <w:p w:rsidR="003A7FCA" w:rsidRPr="003A7FCA" w:rsidRDefault="003A7FCA" w:rsidP="003A7FCA">
      <w:pPr>
        <w:jc w:val="both"/>
        <w:rPr>
          <w:rFonts w:ascii="Times New Roman" w:hAnsi="Times New Roman" w:cs="Times New Roman"/>
        </w:rPr>
      </w:pPr>
      <w:r w:rsidRPr="003A7FCA">
        <w:rPr>
          <w:rFonts w:ascii="Times New Roman" w:hAnsi="Times New Roman" w:cs="Times New Roman"/>
        </w:rPr>
        <w:t>Tak, zgodnie z opisem przedmiotu zamówienia.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222222"/>
          <w:sz w:val="20"/>
          <w:szCs w:val="20"/>
        </w:rPr>
      </w:pPr>
      <w:r>
        <w:rPr>
          <w:rFonts w:ascii="Garamond" w:hAnsi="Garamond" w:cs="Garamond"/>
          <w:color w:val="222222"/>
          <w:sz w:val="20"/>
          <w:szCs w:val="20"/>
        </w:rPr>
        <w:t>4. Jak zamawiający chce rozliczyć urządzenia wykorzystujące technologię wydruku jaką jest atrament , która to nie da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222222"/>
          <w:sz w:val="20"/>
          <w:szCs w:val="20"/>
        </w:rPr>
      </w:pPr>
      <w:r>
        <w:rPr>
          <w:rFonts w:ascii="Garamond" w:hAnsi="Garamond" w:cs="Garamond"/>
          <w:color w:val="222222"/>
          <w:sz w:val="20"/>
          <w:szCs w:val="20"/>
        </w:rPr>
        <w:t>się w większości przypadków rozliczyć na kopie wydruków zarówno mono jak i kolor.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222222"/>
          <w:sz w:val="20"/>
          <w:szCs w:val="20"/>
        </w:rPr>
      </w:pPr>
    </w:p>
    <w:p w:rsidR="003A7FCA" w:rsidRPr="003A7FCA" w:rsidRDefault="003A7FCA" w:rsidP="003A7FCA">
      <w:pPr>
        <w:jc w:val="both"/>
        <w:rPr>
          <w:rFonts w:ascii="Times New Roman" w:hAnsi="Times New Roman" w:cs="Times New Roman"/>
          <w:b/>
        </w:rPr>
      </w:pPr>
      <w:r w:rsidRPr="003A7FCA">
        <w:rPr>
          <w:rFonts w:ascii="Times New Roman" w:hAnsi="Times New Roman" w:cs="Times New Roman"/>
          <w:b/>
        </w:rPr>
        <w:t>Ad. 4</w:t>
      </w:r>
    </w:p>
    <w:p w:rsidR="003A7FCA" w:rsidRPr="003A7FCA" w:rsidRDefault="003A7FCA" w:rsidP="003A7FCA">
      <w:pPr>
        <w:jc w:val="both"/>
        <w:rPr>
          <w:rFonts w:ascii="Times New Roman" w:hAnsi="Times New Roman" w:cs="Times New Roman"/>
        </w:rPr>
      </w:pPr>
      <w:r w:rsidRPr="003A7FCA">
        <w:rPr>
          <w:rFonts w:ascii="Times New Roman" w:hAnsi="Times New Roman" w:cs="Times New Roman"/>
        </w:rPr>
        <w:t>Zgodnie z pkt. 14 Opisu przedmiotu zamówienia Zamawiający jest zwolniony z potrzeby „ręcznego” kontrolowania stanu liczników. W przypadku konieczności ”ręcznego” kontrolowania stanów liczników i poziomu zużycia materiałów eksploatacyjnych obowiązek ten ciąży na Wykonawcy – spisanie liczników i stanów zużycia realizowane będzie w obecności wyznaczonego przedstawiciela Zamawiającego i odnotowywane w protokole.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22222"/>
        </w:rPr>
      </w:pPr>
      <w:r>
        <w:rPr>
          <w:rFonts w:ascii="Garamond" w:hAnsi="Garamond" w:cs="Garamond"/>
          <w:color w:val="000000"/>
          <w:sz w:val="20"/>
          <w:szCs w:val="20"/>
        </w:rPr>
        <w:t xml:space="preserve">5. Czy zaoferowany system do monitorowania stanów poziomu materiałów eksploatacyjnych co nie jest bez znaczenia z uwagi na poprawny i regularny wymiar wysokości dostarczanych przez Zmawiającego faktur w </w:t>
      </w:r>
      <w:proofErr w:type="spellStart"/>
      <w:r>
        <w:rPr>
          <w:rFonts w:ascii="Garamond" w:hAnsi="Garamond" w:cs="Garamond"/>
          <w:color w:val="000000"/>
          <w:sz w:val="20"/>
          <w:szCs w:val="20"/>
        </w:rPr>
        <w:t>stosunkumiesięcznym</w:t>
      </w:r>
      <w:proofErr w:type="spellEnd"/>
      <w:r>
        <w:rPr>
          <w:rFonts w:ascii="Garamond" w:hAnsi="Garamond" w:cs="Garamond"/>
          <w:color w:val="000000"/>
          <w:sz w:val="20"/>
          <w:szCs w:val="20"/>
        </w:rPr>
        <w:t xml:space="preserve"> , </w:t>
      </w:r>
      <w:r>
        <w:rPr>
          <w:rFonts w:ascii="Calibri" w:hAnsi="Calibri" w:cs="Calibri"/>
          <w:color w:val="222222"/>
        </w:rPr>
        <w:t>w przypadku braku komunikacji urządzenia drukującego z serwerem Wykonawcy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Calibri" w:hAnsi="Calibri" w:cs="Calibri"/>
          <w:color w:val="222222"/>
        </w:rPr>
        <w:t>/</w:t>
      </w:r>
      <w:proofErr w:type="spellStart"/>
      <w:r>
        <w:rPr>
          <w:rFonts w:ascii="Calibri" w:hAnsi="Calibri" w:cs="Calibri"/>
          <w:color w:val="222222"/>
        </w:rPr>
        <w:t>Zawiającego</w:t>
      </w:r>
      <w:proofErr w:type="spellEnd"/>
      <w:r>
        <w:rPr>
          <w:rFonts w:ascii="Calibri" w:hAnsi="Calibri" w:cs="Calibri"/>
          <w:color w:val="222222"/>
        </w:rPr>
        <w:t>, (</w:t>
      </w:r>
      <w:r>
        <w:rPr>
          <w:rFonts w:ascii="Garamond" w:hAnsi="Garamond" w:cs="Garamond"/>
          <w:color w:val="222222"/>
          <w:sz w:val="20"/>
          <w:szCs w:val="20"/>
        </w:rPr>
        <w:t xml:space="preserve">przez brak komunikacji agenta Zamawiający rozumie </w:t>
      </w:r>
      <w:r>
        <w:rPr>
          <w:rFonts w:ascii="Garamond" w:hAnsi="Garamond" w:cs="Garamond"/>
          <w:color w:val="000000"/>
          <w:sz w:val="20"/>
          <w:szCs w:val="20"/>
        </w:rPr>
        <w:t>brak aktywności usługi na urządzeniu w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okresie rozliczeniowym trwająca dłużej niż 3 dni), musi posiadać funkcjonalność przejścia z metody rozliczania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polegającej na rozliczaniu faktycznie wydrukowanych iloczynowo stron , na metodę wyliczeń algorytmicznych /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lastRenderedPageBreak/>
        <w:t>ryczałtowych ,stanowiącą uśrednioną liczbę mogących zostać wykonanych kopi na danym urządzeniu w okresie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swojej nieaktywności (biorąc pod uwagę średnią historyczną liczbę wydruków urządzenia) . W przypadku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zakończenia okresu rozliczeniowego oraz nieaktywności usługi na danym urządzeniu drukującym ,oprogramowanie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monitorujące musi posiadać możliwość wygenerowania raportu , obliczającą liczbę wydruków na nieaktywnym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urządzeniu zgodnie z metodą opisana powyżej. W przypadku przywrócenia komunikacji agent-serwer,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oprogramowanie musi automatycznie przestawić sposób liczenia wydruków na metodę rzeczywistego odpytywania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licznika urządzenia oraz rozliczyć liczbę wydruków odczytaną metodą ryczałtową dokonując korekty liczby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wydruków w taki sposób, aby metoda rozliczenia ryczałtowego była zgodna z liczbą wydruków wykonanych za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pomocą wskazań sterownika/licznika całkowitego danego urządzenia drukującego. Z uwagi na liczbę urządzeń , ilość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lokalizacji, możliwe do wystąpienia problemy , funkcjonalność ta znacznie poprawi komfort obsługi kontraktu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zarówno po stronie Wykonawcy jak i Zamawiającego.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</w:p>
    <w:p w:rsidR="003A7FCA" w:rsidRPr="003A7FCA" w:rsidRDefault="003A7FCA" w:rsidP="003A7FCA">
      <w:pPr>
        <w:jc w:val="both"/>
        <w:rPr>
          <w:rFonts w:ascii="Times New Roman" w:hAnsi="Times New Roman" w:cs="Times New Roman"/>
          <w:b/>
        </w:rPr>
      </w:pPr>
      <w:r w:rsidRPr="003A7FCA">
        <w:rPr>
          <w:rFonts w:ascii="Times New Roman" w:hAnsi="Times New Roman" w:cs="Times New Roman"/>
          <w:b/>
        </w:rPr>
        <w:t>Ad. 5</w:t>
      </w:r>
    </w:p>
    <w:p w:rsidR="003A7FCA" w:rsidRPr="003A7FCA" w:rsidRDefault="003A7FCA" w:rsidP="003A7FCA">
      <w:pPr>
        <w:jc w:val="both"/>
        <w:rPr>
          <w:rFonts w:ascii="Times New Roman" w:hAnsi="Times New Roman" w:cs="Times New Roman"/>
        </w:rPr>
      </w:pPr>
      <w:r w:rsidRPr="003A7FCA">
        <w:rPr>
          <w:rFonts w:ascii="Times New Roman" w:hAnsi="Times New Roman" w:cs="Times New Roman"/>
        </w:rPr>
        <w:t>Zgodnie z Opisem przedmiotu zamówienia – na podstawie ilości wydrukowanych stron.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6. Czy z uwagi na ochronę przewidzianą przez prawo własności intelektualnej - Zamawiający będzie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wymagał przedstawienia oświadczenia pochodzącego od Producenta oferowanego oprogramowania, w którego treści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Producent oprogramowania potwierdzi jego zgodność z treścią wszystkich minimalnych wymagań technicznych (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zarówno pod kątem posiadania jak i faktycznego i prawidłowego ich funkcjonowania) szczegółowo opisanych w treści  SIWZ oraz fakt sprzedaży/posiadania przez Zamawiającego wymaganej liczby licencji stanowiskowych na jego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wykorzystanie (użytkownik, urządzenie drukujące). Oferowane licencje na oprogramowanie muszą być wolne od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ograniczeń stanowiskowych , ilościowych , terytorialnych a minimalny okres czasowy ważności oferowanych licencji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na oprogramowanie musi być przynajmniej równy okresowi trwania umowy. W przypadku zaoferowania dwóch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różnych systemów tj. osobno systemu druku bezpiecznego i podążającego oraz systemu monitorowania dla urządzeń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posiadanych przez Zamawiającego jako różnych produktów , Zamawiający powinien zażądać oświadczenia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 xml:space="preserve">Producenta o treści opisanej w powyżej - osobno dla każdego z tych rozwiązań. W przypadku zakupu sublicencji przez Wykonawcę </w:t>
      </w:r>
      <w:proofErr w:type="spellStart"/>
      <w:r>
        <w:rPr>
          <w:rFonts w:ascii="Garamond" w:hAnsi="Garamond" w:cs="Garamond"/>
          <w:color w:val="000000"/>
          <w:sz w:val="20"/>
          <w:szCs w:val="20"/>
        </w:rPr>
        <w:t>Zamaiwiający</w:t>
      </w:r>
      <w:proofErr w:type="spellEnd"/>
      <w:r>
        <w:rPr>
          <w:rFonts w:ascii="Garamond" w:hAnsi="Garamond" w:cs="Garamond"/>
          <w:color w:val="000000"/>
          <w:sz w:val="20"/>
          <w:szCs w:val="20"/>
        </w:rPr>
        <w:t xml:space="preserve"> powinien </w:t>
      </w:r>
      <w:proofErr w:type="spellStart"/>
      <w:r>
        <w:rPr>
          <w:rFonts w:ascii="Garamond" w:hAnsi="Garamond" w:cs="Garamond"/>
          <w:color w:val="000000"/>
          <w:sz w:val="20"/>
          <w:szCs w:val="20"/>
        </w:rPr>
        <w:t>zarządać</w:t>
      </w:r>
      <w:proofErr w:type="spellEnd"/>
      <w:r>
        <w:rPr>
          <w:rFonts w:ascii="Garamond" w:hAnsi="Garamond" w:cs="Garamond"/>
          <w:color w:val="000000"/>
          <w:sz w:val="20"/>
          <w:szCs w:val="20"/>
        </w:rPr>
        <w:t xml:space="preserve"> umowy pomiędzy Dystrybutorem a </w:t>
      </w:r>
      <w:proofErr w:type="spellStart"/>
      <w:r>
        <w:rPr>
          <w:rFonts w:ascii="Garamond" w:hAnsi="Garamond" w:cs="Garamond"/>
          <w:color w:val="000000"/>
          <w:sz w:val="20"/>
          <w:szCs w:val="20"/>
        </w:rPr>
        <w:t>Licencjonariuszem</w:t>
      </w:r>
      <w:proofErr w:type="spellEnd"/>
      <w:r>
        <w:rPr>
          <w:rFonts w:ascii="Garamond" w:hAnsi="Garamond" w:cs="Garamond"/>
          <w:color w:val="000000"/>
          <w:sz w:val="20"/>
          <w:szCs w:val="20"/>
        </w:rPr>
        <w:t xml:space="preserve"> – Oferentem .</w:t>
      </w:r>
    </w:p>
    <w:p w:rsidR="003A7FCA" w:rsidRPr="00C65621" w:rsidRDefault="003A7FCA" w:rsidP="003A7F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621">
        <w:rPr>
          <w:rFonts w:ascii="Times New Roman" w:hAnsi="Times New Roman" w:cs="Times New Roman"/>
          <w:b/>
          <w:sz w:val="24"/>
          <w:szCs w:val="24"/>
        </w:rPr>
        <w:t>Ad. 6</w:t>
      </w:r>
    </w:p>
    <w:p w:rsidR="003A7FCA" w:rsidRDefault="003A7FCA" w:rsidP="003A7F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Ryzyko naruszenia licencji pozostaje po stronie Wykonawcy.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7. Z uwagi na zakres podmiotowy i przedmiotowy zamówienia , oraz możliwe nieścisłości pojawiające się w spisie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urządzeń , Zamawiający umożliwi do chwili uruchomienia usługi Wykonawca , środkami własnymi pod nadzorem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Zamawiającego dokonanie fizycznej inwentaryzacji wszystkich urządzeń drukujących znajdujących się na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terenie jednostek Zamawiającego , w celu stworzenia ośrodków kosztowych MPK , poprzez ich fizyczne przypisanie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do jednostek organizacyjnych znajdujących się na terenie obiektów Zamawiającego, Wykonawca w trakcie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przeprowadzenia inwentaryzacji urządzeń drukujących zobowiązany będzie do zebrania z każdego z urządzeń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informacji dotyczących modelu oraz marki producenta urządzenia, jego numeru inwentarzowego, numeru seryjnego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urządzenia, wydrukowania strony startowej , z tak przeprowadzonej inwentaryzacji Wykonawca sporządzi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zestawienie w formie tabelarycznej , oraz doręczy tak sporządzone zestawienie Zamawiającemu w terminie do 3 dni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od dnia uruchomienia usługi. Zestawienie o którym mowa powyżej stanowić będzie również zestawienie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 xml:space="preserve">utworzonych </w:t>
      </w:r>
      <w:proofErr w:type="spellStart"/>
      <w:r>
        <w:rPr>
          <w:rFonts w:ascii="Garamond" w:hAnsi="Garamond" w:cs="Garamond"/>
          <w:color w:val="000000"/>
          <w:sz w:val="20"/>
          <w:szCs w:val="20"/>
        </w:rPr>
        <w:t>tzw</w:t>
      </w:r>
      <w:proofErr w:type="spellEnd"/>
      <w:r>
        <w:rPr>
          <w:rFonts w:ascii="Garamond" w:hAnsi="Garamond" w:cs="Garamond"/>
          <w:color w:val="000000"/>
          <w:sz w:val="20"/>
          <w:szCs w:val="20"/>
        </w:rPr>
        <w:t>:” MPK” tj. miejsc powstawania kosztów , które zostanie następnie w tożsamej formie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eksplorowane do oprogramowania monitorującego celem przypisania poszczególnych urządzeń drukujących do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danego MPK. Zamawiający jako administrator systemu musi mieć możliwość samodzielnej możliwość tworzenia i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zmiany poszczególnych MPK.</w:t>
      </w:r>
    </w:p>
    <w:p w:rsidR="003A7FCA" w:rsidRPr="003A7FCA" w:rsidRDefault="003A7FCA" w:rsidP="003A7FCA">
      <w:pPr>
        <w:jc w:val="both"/>
        <w:rPr>
          <w:rFonts w:ascii="Times New Roman" w:hAnsi="Times New Roman" w:cs="Times New Roman"/>
          <w:b/>
        </w:rPr>
      </w:pPr>
      <w:r w:rsidRPr="003A7FCA">
        <w:rPr>
          <w:rFonts w:ascii="Times New Roman" w:hAnsi="Times New Roman" w:cs="Times New Roman"/>
          <w:b/>
        </w:rPr>
        <w:t>Ad. 7</w:t>
      </w:r>
    </w:p>
    <w:p w:rsidR="003A7FCA" w:rsidRPr="003A7FCA" w:rsidRDefault="003A7FCA" w:rsidP="003A7FCA">
      <w:pPr>
        <w:jc w:val="both"/>
        <w:rPr>
          <w:rFonts w:ascii="Times New Roman" w:hAnsi="Times New Roman" w:cs="Times New Roman"/>
        </w:rPr>
      </w:pPr>
      <w:r w:rsidRPr="003A7FCA">
        <w:rPr>
          <w:rFonts w:ascii="Times New Roman" w:hAnsi="Times New Roman" w:cs="Times New Roman"/>
        </w:rPr>
        <w:t>Tak.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8. Czy przed podpisaniem umowy Zmawiający będzie wymagał przeprowadzenia testów oprogramowania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,mających na celu potwierdzenie posiadania przez Zamawiającego aplikacji spełniających zarówno pod względem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posiadania jak i fizycznego ich poprawnego funkcjonowania w środowisku informatycznym Zamawiającego -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proofErr w:type="spellStart"/>
      <w:r>
        <w:rPr>
          <w:rFonts w:ascii="Garamond" w:hAnsi="Garamond" w:cs="Garamond"/>
          <w:color w:val="000000"/>
          <w:sz w:val="20"/>
          <w:szCs w:val="20"/>
        </w:rPr>
        <w:t>wszystkicj</w:t>
      </w:r>
      <w:proofErr w:type="spellEnd"/>
      <w:r>
        <w:rPr>
          <w:rFonts w:ascii="Garamond" w:hAnsi="Garamond" w:cs="Garamond"/>
          <w:color w:val="000000"/>
          <w:sz w:val="20"/>
          <w:szCs w:val="20"/>
        </w:rPr>
        <w:t xml:space="preserve"> enumeratywnie opisane w treści SIWZ funkcjonalności żadne przez Zamawiającego ? Brak posiadania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funkcjonalności (którejkolwiek) lub jej niepoprawne funkcjonowanie powinno skutkować odrzuceniem oferty.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</w:p>
    <w:p w:rsidR="003A7FCA" w:rsidRPr="003A7FCA" w:rsidRDefault="003A7FCA" w:rsidP="003A7FCA">
      <w:pPr>
        <w:jc w:val="both"/>
        <w:rPr>
          <w:rFonts w:ascii="Times New Roman" w:hAnsi="Times New Roman" w:cs="Times New Roman"/>
          <w:b/>
        </w:rPr>
      </w:pPr>
      <w:r w:rsidRPr="003A7FCA">
        <w:rPr>
          <w:rFonts w:ascii="Times New Roman" w:hAnsi="Times New Roman" w:cs="Times New Roman"/>
          <w:b/>
        </w:rPr>
        <w:t>Ad. 8</w:t>
      </w:r>
    </w:p>
    <w:p w:rsidR="003A7FCA" w:rsidRPr="003A7FCA" w:rsidRDefault="003A7FCA" w:rsidP="003A7FCA">
      <w:pPr>
        <w:jc w:val="both"/>
        <w:rPr>
          <w:rFonts w:ascii="Times New Roman" w:hAnsi="Times New Roman" w:cs="Times New Roman"/>
        </w:rPr>
      </w:pPr>
      <w:r w:rsidRPr="003A7FCA">
        <w:rPr>
          <w:rFonts w:ascii="Times New Roman" w:hAnsi="Times New Roman" w:cs="Times New Roman"/>
        </w:rPr>
        <w:t>W przypadku wątpliwości Zamawiający zastrzega sobie możliwość weryfikacji wymaganej funkcjonalności oprogramowania.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</w:p>
    <w:p w:rsidR="00E210B7" w:rsidRDefault="00E210B7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 xml:space="preserve">9. Czy funkcjonalności w zakresie </w:t>
      </w:r>
      <w:proofErr w:type="spellStart"/>
      <w:r>
        <w:rPr>
          <w:rFonts w:ascii="Garamond" w:hAnsi="Garamond" w:cs="Garamond"/>
          <w:color w:val="000000"/>
          <w:sz w:val="20"/>
          <w:szCs w:val="20"/>
        </w:rPr>
        <w:t>udzieonych</w:t>
      </w:r>
      <w:proofErr w:type="spellEnd"/>
      <w:r>
        <w:rPr>
          <w:rFonts w:ascii="Garamond" w:hAnsi="Garamond" w:cs="Garamond"/>
          <w:color w:val="000000"/>
          <w:sz w:val="20"/>
          <w:szCs w:val="20"/>
        </w:rPr>
        <w:t xml:space="preserve"> przez agenta monitorującego informacji wskazanych w zapytaniu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ofertowym muszą być tożsame dla drukarek połączonych za pomocą połączeń LAN jak i USB – w jednakowy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sposób , zapewniając tożsame odczyty i wymagane funkcjonalności?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</w:p>
    <w:p w:rsidR="003A7FCA" w:rsidRPr="003A7FCA" w:rsidRDefault="003A7FCA" w:rsidP="003A7FCA">
      <w:pPr>
        <w:jc w:val="both"/>
        <w:rPr>
          <w:rFonts w:ascii="Times New Roman" w:hAnsi="Times New Roman" w:cs="Times New Roman"/>
          <w:b/>
        </w:rPr>
      </w:pPr>
      <w:r w:rsidRPr="003A7FCA">
        <w:rPr>
          <w:rFonts w:ascii="Times New Roman" w:hAnsi="Times New Roman" w:cs="Times New Roman"/>
          <w:b/>
        </w:rPr>
        <w:t>Ad. 9</w:t>
      </w:r>
    </w:p>
    <w:p w:rsidR="003A7FCA" w:rsidRPr="003A7FCA" w:rsidRDefault="003A7FCA" w:rsidP="003A7FCA">
      <w:pPr>
        <w:jc w:val="both"/>
        <w:rPr>
          <w:rFonts w:ascii="Times New Roman" w:hAnsi="Times New Roman" w:cs="Times New Roman"/>
        </w:rPr>
      </w:pPr>
      <w:r w:rsidRPr="003A7FCA">
        <w:rPr>
          <w:rFonts w:ascii="Times New Roman" w:hAnsi="Times New Roman" w:cs="Times New Roman"/>
        </w:rPr>
        <w:t>Oprogramowanie monitorujące system druku powinno zapewnić rzeczywistą rejestrację ilości wydrukowanych stron.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10. Czy oferowane oprogramowanie do monitorowania urządzeń drukujących musi zapewnić za pomocą dowolnej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-Italic" w:hAnsi="Garamond-Italic" w:cs="Garamond-Italic"/>
          <w:i/>
          <w:iCs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 xml:space="preserve">przeglądarki WWW dostęp do </w:t>
      </w:r>
      <w:proofErr w:type="spellStart"/>
      <w:r>
        <w:rPr>
          <w:rFonts w:ascii="Garamond-Italic" w:hAnsi="Garamond-Italic" w:cs="Garamond-Italic"/>
          <w:i/>
          <w:iCs/>
          <w:color w:val="000000"/>
          <w:sz w:val="20"/>
          <w:szCs w:val="20"/>
        </w:rPr>
        <w:t>tzw</w:t>
      </w:r>
      <w:proofErr w:type="spellEnd"/>
      <w:r>
        <w:rPr>
          <w:rFonts w:ascii="Garamond-Italic" w:hAnsi="Garamond-Italic" w:cs="Garamond-Italic"/>
          <w:i/>
          <w:iCs/>
          <w:color w:val="000000"/>
          <w:sz w:val="20"/>
          <w:szCs w:val="20"/>
        </w:rPr>
        <w:t xml:space="preserve">;” panelu serwisowego” </w:t>
      </w:r>
      <w:r>
        <w:rPr>
          <w:rFonts w:ascii="Garamond" w:hAnsi="Garamond" w:cs="Garamond"/>
          <w:color w:val="000000"/>
          <w:sz w:val="20"/>
          <w:szCs w:val="20"/>
        </w:rPr>
        <w:t>(</w:t>
      </w:r>
      <w:r>
        <w:rPr>
          <w:rFonts w:ascii="Garamond-Italic" w:hAnsi="Garamond-Italic" w:cs="Garamond-Italic"/>
          <w:i/>
          <w:iCs/>
          <w:color w:val="000000"/>
          <w:sz w:val="20"/>
          <w:szCs w:val="20"/>
        </w:rPr>
        <w:t>logowanie do systemu odbywać się będzie za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-Italic" w:hAnsi="Garamond-Italic" w:cs="Garamond-Italic"/>
          <w:i/>
          <w:iCs/>
          <w:color w:val="000000"/>
          <w:sz w:val="20"/>
          <w:szCs w:val="20"/>
        </w:rPr>
      </w:pPr>
      <w:r>
        <w:rPr>
          <w:rFonts w:ascii="Garamond-Italic" w:hAnsi="Garamond-Italic" w:cs="Garamond-Italic"/>
          <w:i/>
          <w:iCs/>
          <w:color w:val="000000"/>
          <w:sz w:val="20"/>
          <w:szCs w:val="20"/>
        </w:rPr>
        <w:t xml:space="preserve">pomocą indywidualnych kont użytkowników , wygenerowanych dla osób </w:t>
      </w:r>
      <w:proofErr w:type="spellStart"/>
      <w:r>
        <w:rPr>
          <w:rFonts w:ascii="Garamond-Italic" w:hAnsi="Garamond-Italic" w:cs="Garamond-Italic"/>
          <w:i/>
          <w:iCs/>
          <w:color w:val="000000"/>
          <w:sz w:val="20"/>
          <w:szCs w:val="20"/>
        </w:rPr>
        <w:t>uperawnionych</w:t>
      </w:r>
      <w:proofErr w:type="spellEnd"/>
      <w:r>
        <w:rPr>
          <w:rFonts w:ascii="Garamond-Italic" w:hAnsi="Garamond-Italic" w:cs="Garamond-Italic"/>
          <w:i/>
          <w:iCs/>
          <w:color w:val="000000"/>
          <w:sz w:val="20"/>
          <w:szCs w:val="20"/>
        </w:rPr>
        <w:t xml:space="preserve"> wskazanych przez Zamawiającego z poziomu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222222"/>
        </w:rPr>
      </w:pPr>
      <w:r>
        <w:rPr>
          <w:rFonts w:ascii="Garamond-Italic" w:hAnsi="Garamond-Italic" w:cs="Garamond-Italic"/>
          <w:i/>
          <w:iCs/>
          <w:color w:val="000000"/>
          <w:sz w:val="20"/>
          <w:szCs w:val="20"/>
        </w:rPr>
        <w:t>każdej z lokalizacj</w:t>
      </w:r>
      <w:r>
        <w:rPr>
          <w:rFonts w:ascii="Garamond" w:hAnsi="Garamond" w:cs="Garamond"/>
          <w:color w:val="000000"/>
          <w:sz w:val="20"/>
          <w:szCs w:val="20"/>
        </w:rPr>
        <w:t xml:space="preserve">i . ); </w:t>
      </w:r>
      <w:r>
        <w:rPr>
          <w:rFonts w:ascii="Garamond" w:hAnsi="Garamond" w:cs="Garamond"/>
          <w:color w:val="222222"/>
        </w:rPr>
        <w:t>umożliwiającego za jego pomocą wysłanie zgłoszenia naprawy uszkodzonego urządzenia</w:t>
      </w:r>
      <w:r w:rsidR="00E210B7">
        <w:rPr>
          <w:rFonts w:ascii="Garamond" w:hAnsi="Garamond" w:cs="Garamond"/>
          <w:color w:val="222222"/>
        </w:rPr>
        <w:t xml:space="preserve"> </w:t>
      </w:r>
      <w:r>
        <w:rPr>
          <w:rFonts w:ascii="Garamond" w:hAnsi="Garamond" w:cs="Garamond"/>
          <w:color w:val="222222"/>
        </w:rPr>
        <w:t>drukującego. Panel serwisowy musi automatycznie wczytać listę urządzeń drukujących znajdujących się w</w:t>
      </w:r>
      <w:r w:rsidR="00E210B7">
        <w:rPr>
          <w:rFonts w:ascii="Garamond" w:hAnsi="Garamond" w:cs="Garamond"/>
          <w:color w:val="222222"/>
        </w:rPr>
        <w:t xml:space="preserve"> </w:t>
      </w:r>
      <w:r>
        <w:rPr>
          <w:rFonts w:ascii="Garamond" w:hAnsi="Garamond" w:cs="Garamond"/>
          <w:color w:val="222222"/>
        </w:rPr>
        <w:t>zasobach oprogramowania (LAN) , oraz na bieżąco ją uaktualniać w chwili wykrycia nowych urządzeń przez</w:t>
      </w:r>
      <w:r w:rsidR="00E210B7">
        <w:rPr>
          <w:rFonts w:ascii="Garamond" w:hAnsi="Garamond" w:cs="Garamond"/>
          <w:color w:val="222222"/>
        </w:rPr>
        <w:t xml:space="preserve"> </w:t>
      </w:r>
      <w:r>
        <w:rPr>
          <w:rFonts w:ascii="Garamond" w:hAnsi="Garamond" w:cs="Garamond"/>
          <w:color w:val="222222"/>
        </w:rPr>
        <w:t>system monitorowania, ponadto panel serwisowy powinien umożliwić dostęp do następujących informacje</w:t>
      </w:r>
      <w:r w:rsidR="00E210B7">
        <w:rPr>
          <w:rFonts w:ascii="Garamond" w:hAnsi="Garamond" w:cs="Garamond"/>
          <w:color w:val="222222"/>
        </w:rPr>
        <w:t xml:space="preserve"> </w:t>
      </w:r>
      <w:r>
        <w:rPr>
          <w:rFonts w:ascii="Garamond" w:hAnsi="Garamond" w:cs="Garamond"/>
          <w:color w:val="222222"/>
        </w:rPr>
        <w:t>dotyczących procesu napraw urządzeń drukujących,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· status naprawy w czasie rzeczywistym;</w:t>
      </w:r>
      <w:r w:rsidR="00E210B7">
        <w:rPr>
          <w:rFonts w:ascii="Garamond" w:hAnsi="Garamond" w:cs="Garamond"/>
          <w:color w:val="000000"/>
          <w:sz w:val="20"/>
          <w:szCs w:val="20"/>
        </w:rPr>
        <w:t>·</w:t>
      </w:r>
      <w:r>
        <w:rPr>
          <w:rFonts w:ascii="Garamond" w:hAnsi="Garamond" w:cs="Garamond"/>
          <w:color w:val="000000"/>
          <w:sz w:val="20"/>
          <w:szCs w:val="20"/>
        </w:rPr>
        <w:t>dane zgłaszającego (automatycznie), zgłaszający musi mieć możliwość generowania dowolnej</w:t>
      </w:r>
      <w:r w:rsidR="00E210B7">
        <w:rPr>
          <w:rFonts w:ascii="Garamond" w:hAnsi="Garamond" w:cs="Garamond"/>
          <w:color w:val="000000"/>
          <w:sz w:val="20"/>
          <w:szCs w:val="20"/>
        </w:rPr>
        <w:t xml:space="preserve"> </w:t>
      </w:r>
      <w:r>
        <w:rPr>
          <w:rFonts w:ascii="Garamond" w:hAnsi="Garamond" w:cs="Garamond"/>
          <w:color w:val="000000"/>
          <w:sz w:val="20"/>
          <w:szCs w:val="20"/>
        </w:rPr>
        <w:t>liczby loginów i haseł do panelu, celem ich dystrybucji dla poszczególnych użytkowników ;· lokalizację sprzętu drukującego będącego w naprawie (wskazanie miejsca w którym znajduje się</w:t>
      </w:r>
      <w:r w:rsidR="00E210B7">
        <w:rPr>
          <w:rFonts w:ascii="Garamond" w:hAnsi="Garamond" w:cs="Garamond"/>
          <w:color w:val="000000"/>
          <w:sz w:val="20"/>
          <w:szCs w:val="20"/>
        </w:rPr>
        <w:t xml:space="preserve"> </w:t>
      </w:r>
      <w:r>
        <w:rPr>
          <w:rFonts w:ascii="Garamond" w:hAnsi="Garamond" w:cs="Garamond"/>
          <w:color w:val="000000"/>
          <w:sz w:val="20"/>
          <w:szCs w:val="20"/>
        </w:rPr>
        <w:t>uszkodzone urządzenie u Zamawiającego, dane teleadresowe serwisu dokonującego naprawy);</w:t>
      </w:r>
      <w:r w:rsidR="00E210B7">
        <w:rPr>
          <w:rFonts w:ascii="Garamond" w:hAnsi="Garamond" w:cs="Garamond"/>
          <w:color w:val="000000"/>
          <w:sz w:val="20"/>
          <w:szCs w:val="20"/>
        </w:rPr>
        <w:t xml:space="preserve"> </w:t>
      </w:r>
      <w:r>
        <w:rPr>
          <w:rFonts w:ascii="Garamond" w:hAnsi="Garamond" w:cs="Garamond"/>
          <w:color w:val="000000"/>
          <w:sz w:val="20"/>
          <w:szCs w:val="20"/>
        </w:rPr>
        <w:t>model urządzenia drukującego wraz z numerem seryjnym, oraz przypisaną lokalizacją w zasobach</w:t>
      </w:r>
      <w:r w:rsidR="00E210B7">
        <w:rPr>
          <w:rFonts w:ascii="Garamond" w:hAnsi="Garamond" w:cs="Garamond"/>
          <w:color w:val="000000"/>
          <w:sz w:val="20"/>
          <w:szCs w:val="20"/>
        </w:rPr>
        <w:t xml:space="preserve"> </w:t>
      </w:r>
      <w:r>
        <w:rPr>
          <w:rFonts w:ascii="Garamond" w:hAnsi="Garamond" w:cs="Garamond"/>
          <w:color w:val="000000"/>
          <w:sz w:val="20"/>
          <w:szCs w:val="20"/>
        </w:rPr>
        <w:t>lokalowych Zamawiającego ;</w:t>
      </w:r>
      <w:r w:rsidR="00E210B7">
        <w:rPr>
          <w:rFonts w:ascii="Garamond" w:hAnsi="Garamond" w:cs="Garamond"/>
          <w:color w:val="000000"/>
          <w:sz w:val="20"/>
          <w:szCs w:val="20"/>
        </w:rPr>
        <w:t xml:space="preserve"> </w:t>
      </w:r>
      <w:r>
        <w:rPr>
          <w:rFonts w:ascii="Garamond" w:hAnsi="Garamond" w:cs="Garamond"/>
          <w:color w:val="000000"/>
          <w:sz w:val="20"/>
          <w:szCs w:val="20"/>
        </w:rPr>
        <w:t>opis usterki (z możliwością edycji opisu usterki przez Zamawiającego); możliwość wyszczególnienia części niezbędnych do naprawy urządzenia drukującego (edytowalny</w:t>
      </w:r>
      <w:r w:rsidR="00E210B7">
        <w:rPr>
          <w:rFonts w:ascii="Garamond" w:hAnsi="Garamond" w:cs="Garamond"/>
          <w:color w:val="000000"/>
          <w:sz w:val="20"/>
          <w:szCs w:val="20"/>
        </w:rPr>
        <w:t xml:space="preserve"> </w:t>
      </w:r>
      <w:r>
        <w:rPr>
          <w:rFonts w:ascii="Garamond" w:hAnsi="Garamond" w:cs="Garamond"/>
          <w:color w:val="000000"/>
          <w:sz w:val="20"/>
          <w:szCs w:val="20"/>
        </w:rPr>
        <w:t>przez Wykonawcę); wyszczególnienie kosztów naprawy , wraz z możliwością edycji udzielenia przez Zamawiającego</w:t>
      </w:r>
      <w:r w:rsidR="00E210B7">
        <w:rPr>
          <w:rFonts w:ascii="Garamond" w:hAnsi="Garamond" w:cs="Garamond"/>
          <w:color w:val="000000"/>
          <w:sz w:val="20"/>
          <w:szCs w:val="20"/>
        </w:rPr>
        <w:t xml:space="preserve"> </w:t>
      </w:r>
      <w:r>
        <w:rPr>
          <w:rFonts w:ascii="Garamond" w:hAnsi="Garamond" w:cs="Garamond"/>
          <w:color w:val="000000"/>
          <w:sz w:val="20"/>
          <w:szCs w:val="20"/>
        </w:rPr>
        <w:t>komentarza co do wyrażenia bądź nie ,zgody na naprawę urządzenia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· opis naprawy urządzenia drukującego (wypełniany przez serwis Wykonawcy);</w:t>
      </w:r>
      <w:r w:rsidR="00E210B7">
        <w:rPr>
          <w:rFonts w:ascii="Garamond" w:hAnsi="Garamond" w:cs="Garamond"/>
          <w:color w:val="000000"/>
          <w:sz w:val="20"/>
          <w:szCs w:val="20"/>
        </w:rPr>
        <w:t xml:space="preserve"> </w:t>
      </w:r>
      <w:r>
        <w:rPr>
          <w:rFonts w:ascii="Garamond" w:hAnsi="Garamond" w:cs="Garamond"/>
          <w:color w:val="000000"/>
          <w:sz w:val="20"/>
          <w:szCs w:val="20"/>
        </w:rPr>
        <w:t>data zgłoszenia serwisowego,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· data przyjęcia zgłoszenia serwisowego ,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· data wykonania naprawy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· data wydania drukarki z serwisu , oraz przewidywany czas dostawy urządzenia do Zamawiającego,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· możliwość dodania załącznika (tj. dodania strony testowej z urządzenia celem określenia kody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błędu , brudnego wydruku etc.);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· możliwość dodania załącznika przez serwis urządzeń drukujących (wydruk testowy z urządzenia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drukującego świadczący o poprawnym wykonaniu usługi serwisowej).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· informacje historyczne o zamkniętych zgłoszeniach z podziałem na raport: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I. dzienny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II. tygodniowy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III. miesięczny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IV. porównawczy kategorii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V. porównawczy oddziałów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VI. dzienny czasu reakcji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proofErr w:type="spellStart"/>
      <w:r>
        <w:rPr>
          <w:rFonts w:ascii="Garamond" w:hAnsi="Garamond" w:cs="Garamond"/>
          <w:color w:val="000000"/>
          <w:sz w:val="20"/>
          <w:szCs w:val="20"/>
        </w:rPr>
        <w:t>VII.tygodniowy</w:t>
      </w:r>
      <w:proofErr w:type="spellEnd"/>
      <w:r>
        <w:rPr>
          <w:rFonts w:ascii="Garamond" w:hAnsi="Garamond" w:cs="Garamond"/>
          <w:color w:val="000000"/>
          <w:sz w:val="20"/>
          <w:szCs w:val="20"/>
        </w:rPr>
        <w:t xml:space="preserve"> czasu reakcji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VIII. miesięczny czasu reakcji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IX. sumaryczny liczby zgłoszeń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X. porównawczy liczby zgłoszeń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· aktualnie procesowanych zgłoszeń: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I. sumaryczny liczny zgłoszeń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II. porównawczy obsługujących zgłoszenia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III. porównawczy priorytetów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IV. porównawczy kategorii</w:t>
      </w:r>
    </w:p>
    <w:p w:rsidR="003A7FCA" w:rsidRDefault="003A7FCA" w:rsidP="003A7FC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V. eksport raportów do XLSX i CSV</w:t>
      </w:r>
    </w:p>
    <w:p w:rsidR="003A7FCA" w:rsidRDefault="003A7FCA" w:rsidP="00E210B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Garamond" w:hAnsi="Garamond" w:cs="Garamond"/>
          <w:color w:val="000000"/>
          <w:sz w:val="20"/>
          <w:szCs w:val="20"/>
        </w:rPr>
        <w:t>VI. informacje o usuniętych zgłoszeniach</w:t>
      </w:r>
    </w:p>
    <w:p w:rsidR="001C7F36" w:rsidRPr="00E210B7" w:rsidRDefault="001C7F36" w:rsidP="00483F1D">
      <w:pPr>
        <w:jc w:val="both"/>
        <w:rPr>
          <w:rFonts w:ascii="Times New Roman" w:hAnsi="Times New Roman" w:cs="Times New Roman"/>
          <w:b/>
        </w:rPr>
      </w:pPr>
      <w:r w:rsidRPr="00E210B7">
        <w:rPr>
          <w:rFonts w:ascii="Times New Roman" w:hAnsi="Times New Roman" w:cs="Times New Roman"/>
          <w:b/>
        </w:rPr>
        <w:t>Ad. 10</w:t>
      </w:r>
    </w:p>
    <w:p w:rsidR="001C7F36" w:rsidRDefault="001C7F36" w:rsidP="00483F1D">
      <w:pPr>
        <w:jc w:val="both"/>
        <w:rPr>
          <w:rFonts w:ascii="Times New Roman" w:hAnsi="Times New Roman" w:cs="Times New Roman"/>
        </w:rPr>
      </w:pPr>
      <w:r w:rsidRPr="00E210B7">
        <w:rPr>
          <w:rFonts w:ascii="Times New Roman" w:hAnsi="Times New Roman" w:cs="Times New Roman"/>
        </w:rPr>
        <w:t xml:space="preserve">Tak, za pomocą aktualnych wersji przeglądarek (IE, </w:t>
      </w:r>
      <w:proofErr w:type="spellStart"/>
      <w:r w:rsidRPr="00E210B7">
        <w:rPr>
          <w:rFonts w:ascii="Times New Roman" w:hAnsi="Times New Roman" w:cs="Times New Roman"/>
        </w:rPr>
        <w:t>Firefox</w:t>
      </w:r>
      <w:proofErr w:type="spellEnd"/>
      <w:r w:rsidRPr="00E210B7">
        <w:rPr>
          <w:rFonts w:ascii="Times New Roman" w:hAnsi="Times New Roman" w:cs="Times New Roman"/>
        </w:rPr>
        <w:t xml:space="preserve"> lub Chrome).</w:t>
      </w:r>
    </w:p>
    <w:p w:rsidR="00E210B7" w:rsidRPr="00E210B7" w:rsidRDefault="00E210B7" w:rsidP="00483F1D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3A7FCA" w:rsidRDefault="003A7FCA" w:rsidP="00483F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Jednocześnie informujemy, iż nie ma możliwości wydłużenia terminu do składania ofert </w:t>
      </w:r>
      <w:r w:rsidR="00E210B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zakresie uczestnictwa w postępowaniu.</w:t>
      </w:r>
    </w:p>
    <w:p w:rsidR="003A7FCA" w:rsidRPr="00483F1D" w:rsidRDefault="003A7FCA" w:rsidP="00483F1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A7FCA" w:rsidRPr="00483F1D" w:rsidSect="00E210B7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-Italic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Garamond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3B2"/>
    <w:rsid w:val="001C7F36"/>
    <w:rsid w:val="00282381"/>
    <w:rsid w:val="002F5942"/>
    <w:rsid w:val="003A7FCA"/>
    <w:rsid w:val="00483F1D"/>
    <w:rsid w:val="00491D49"/>
    <w:rsid w:val="004A31F3"/>
    <w:rsid w:val="006816C9"/>
    <w:rsid w:val="009C3929"/>
    <w:rsid w:val="00A045A5"/>
    <w:rsid w:val="00C65621"/>
    <w:rsid w:val="00D761FF"/>
    <w:rsid w:val="00E210B7"/>
    <w:rsid w:val="00EE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C7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F3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C7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F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1743</Words>
  <Characters>10462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Jemielniak</dc:creator>
  <cp:lastModifiedBy>rzajaczkowski</cp:lastModifiedBy>
  <cp:revision>3</cp:revision>
  <cp:lastPrinted>2018-05-16T11:00:00Z</cp:lastPrinted>
  <dcterms:created xsi:type="dcterms:W3CDTF">2018-05-16T11:31:00Z</dcterms:created>
  <dcterms:modified xsi:type="dcterms:W3CDTF">2018-05-16T11:46:00Z</dcterms:modified>
</cp:coreProperties>
</file>