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3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9"/>
        <w:gridCol w:w="1134"/>
      </w:tblGrid>
      <w:tr w:rsidR="00DD0F50" w:rsidRPr="00DD0F50" w:rsidTr="00DD0F50">
        <w:trPr>
          <w:tblCellSpacing w:w="0" w:type="dxa"/>
        </w:trPr>
        <w:tc>
          <w:tcPr>
            <w:tcW w:w="9639" w:type="dxa"/>
            <w:shd w:val="clear" w:color="auto" w:fill="FFFFFF"/>
            <w:vAlign w:val="center"/>
            <w:hideMark/>
          </w:tcPr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pict>
                <v:rect id="_x0000_i1025" style="width:0;height:1.5pt" o:hrstd="t" o:hr="t" fillcolor="#a0a0a0" stroked="f"/>
              </w:pic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Ogłoszenie nr 55030 - 2017 z dnia 2017-03-30 r.</w:t>
            </w:r>
          </w:p>
          <w:p w:rsidR="00DD0F50" w:rsidRPr="00DD0F50" w:rsidRDefault="00DD0F50" w:rsidP="00DD0F5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pl-PL"/>
              </w:rPr>
              <w:t xml:space="preserve">Ostrowiec Świętokrzyski: Remont drogi powiatowej Nr 0666T Bukowie - Świrna ( w </w:t>
            </w:r>
            <w:proofErr w:type="spellStart"/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pl-PL"/>
              </w:rPr>
              <w:t>msc</w:t>
            </w:r>
            <w:proofErr w:type="spellEnd"/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pl-PL"/>
              </w:rPr>
              <w:t xml:space="preserve">. Świrna ) od km 3+000 do km 4+160, dł. 1 160 </w:t>
            </w:r>
            <w:proofErr w:type="spellStart"/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pl-PL"/>
              </w:rPr>
              <w:t>mb</w:t>
            </w:r>
            <w:proofErr w:type="spellEnd"/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pl-PL"/>
              </w:rPr>
              <w:t> </w:t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27"/>
                <w:szCs w:val="27"/>
                <w:lang w:eastAsia="pl-PL"/>
              </w:rPr>
              <w:br/>
              <w:t>OGŁOSZENIE O ZAMÓWIENIU - Roboty budowlane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Zamieszczanie ogłoszenia: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obowiązkowe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Ogłoszenie dotyczy: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zamówienia publicznego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Zamówienie dotyczy projektu lub programu współfinansowanego ze środków Unii Europejskiej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Nazwa projektu lub programu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 xml:space="preserve">Należy podać minimalny procentowy wskaźnik zatrudnienia osób należących do jednej lub więcej kategorii, o których mowa w art. 22 ust. 2 ustawy </w:t>
            </w:r>
            <w:proofErr w:type="spellStart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, nie mniejszy niż 30%, osób zatrudnionych przez zakłady pracy chronionej lub wykonawców albo ich jednostki (w %)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>SEKCJA I: ZAMAWIAJĄCY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Postępowanie przeprowadza centralny zamawiający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Postępowanie przeprowadza podmiot, któremu zamawiający powierzył/powierzyli przeprowadzenie postępowania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Informacje na temat podmiotu któremu zamawiający powierzył/powierzyli prowadzenie postępowania: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Postępowanie jest przeprowadzane wspólnie przez zamawiających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Jeżeli tak, należy wymienić zamawiających, którzy wspólnie przeprowadzają postępowanie oraz podać adresy ich siedzib, krajowe numery identyfikacyjne oraz osoby do kontaktów wraz z danymi do kontaktów: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Postępowanie jest przeprowadzane wspólnie z zamawiającymi z innych państw członkowskich Unii Europejskiej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W przypadku przeprowadzania postępowania wspólnie z zamawiającymi z innych państw członkowskich Unii Europejskiej – mające zastosowanie krajowe prawo zamówień publicznych: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Informacje dodatkowe: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I. 1) NAZWA I ADRES: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Powiat Ostrowiecki, krajowy numer identyfikacyjny 29101853700000, ul. ul. Iłżecka  37, 27400   Ostrowiec Świętokrzyski, woj. świętokrzyskie, państwo Polska, tel. 412 476 965, e-mail starostwo@powiat.ostrowiecki.eu, faks 412 476 610.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Adres strony internetowej (URL): www.ostrowiecki.eu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I. 2) RODZAJ ZAMAWIAJĄCEGO: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Administracja samorządowa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I.3) WSPÓLNE UDZIELANIE ZAMÓWIENIA </w:t>
            </w:r>
            <w:r w:rsidRPr="00DD0F50">
              <w:rPr>
                <w:rFonts w:ascii="Tahoma" w:eastAsia="Times New Roman" w:hAnsi="Tahoma" w:cs="Tahoma"/>
                <w:b/>
                <w:bCs/>
                <w:i/>
                <w:iCs/>
                <w:color w:val="000000"/>
                <w:sz w:val="18"/>
                <w:szCs w:val="18"/>
                <w:lang w:eastAsia="pl-PL"/>
              </w:rPr>
              <w:t>(jeżeli dotyczy)</w:t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I.4) KOMUNIKACJA: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Nieograniczony, pełny i bezpośredni dostęp do dokumentów z postępowania można uzyskać pod adresem (URL)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www.ostrowiecki.eu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Adres strony internetowej, na której zamieszczona będzie specyfikacja istotnych warunków zamówienia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www.ostrowiecki.eu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Dostęp do dokumentów z postępowania jest ograniczony - więcej informacji można uzyskać pod adresem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Oferty lub wnioski o dopuszczenie do udziału w postępowaniu należy przesyłać: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Elektronicznie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lastRenderedPageBreak/>
              <w:t>adres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Dopuszczone jest przesłanie ofert lub wniosków o dopuszczenie do udziału w postępowaniu w inny sposób: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Wymagane jest przesłanie ofert lub wniosków o dopuszczenie do udziału w postępowaniu w inny sposób: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Adres: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Komunikacja elektroniczna wymaga korzystania z narzędzi i urządzeń lub formatów plików, które nie są ogólnie dostępne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Nieograniczony, pełny, bezpośredni i bezpłatny dostęp do tych narzędzi można uzyskać pod adresem: (URL)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>SEKCJA II: PRZEDMIOT ZAMÓWIENIA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II.1) Nazwa nadana zamówieniu przez zamawiającego: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Remont drogi powiatowej Nr 0666T Bukowie - Świrna ( w </w:t>
            </w:r>
            <w:proofErr w:type="spellStart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msc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. Świrna ) od km 3+000 do km 4+160, dł. 1 160 </w:t>
            </w:r>
            <w:proofErr w:type="spellStart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mb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Numer referencyjny: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RI.II.272.05.2017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Przed wszczęciem postępowania o udzielenie zamówienia przeprowadzono dialog techniczny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II.2) Rodzaj zamówienia: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roboty budowlane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II.3) Informacja o możliwości składania ofert częściowych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Zamówienie podzielone jest na części: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II.4) Krótki opis przedmiotu zamówienia </w:t>
            </w:r>
            <w:r w:rsidRPr="00DD0F50">
              <w:rPr>
                <w:rFonts w:ascii="Tahoma" w:eastAsia="Times New Roman" w:hAnsi="Tahoma" w:cs="Tahoma"/>
                <w:i/>
                <w:iCs/>
                <w:color w:val="000000"/>
                <w:sz w:val="18"/>
                <w:szCs w:val="18"/>
                <w:lang w:eastAsia="pl-PL"/>
              </w:rPr>
              <w:t>(wielkość, zakres, rodzaj i ilość dostaw, usług lub robót budowlanych lub określenie zapotrzebowania i wymagań )</w:t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 a w przypadku partnerstwa innowacyjnego - określenie zapotrzebowania na innowacyjny produkt, usługę lub roboty budowlane: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Przedmiotem zamówienia jest wykonanie robót remontowych nawierzchni drogi powiatowej Nr 0666T Bukowie - Świrna o nawierzchni z tłuczniowo-bitumicznej szerokości 4,0m wraz z poboczami tłuczniowymi szer. 0,5m na odcinku długości 1160mb. Zakres robót obejmował będzie uzupełnienie nawierzchni tłuczniowej i bitumicznej na całej szerokości pasa jezdnego i długości remontowanego odcinka oraz jej ulepszenie poprzez ułożenie warstwy wyrównawczej z masy mineralno-bitumicznej gr. śr. 5cm i warstwy ścieralnej gr. 4 cm, wraz z obustronnymi poboczami szerokości po 0,5m gr. śr. 7cm z tłucznia.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II.5) Główny kod CPV: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45233140-2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Dodatkowe kody CPV: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45111200-0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II.6) Całkowita wartość zamówienia </w:t>
            </w:r>
            <w:r w:rsidRPr="00DD0F50">
              <w:rPr>
                <w:rFonts w:ascii="Tahoma" w:eastAsia="Times New Roman" w:hAnsi="Tahoma" w:cs="Tahoma"/>
                <w:i/>
                <w:iCs/>
                <w:color w:val="000000"/>
                <w:sz w:val="18"/>
                <w:szCs w:val="18"/>
                <w:lang w:eastAsia="pl-PL"/>
              </w:rPr>
              <w:t>(jeżeli zamawiający podaje informacje o wartości zamówienia)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Wartość bez VAT: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Waluta: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i/>
                <w:iCs/>
                <w:color w:val="000000"/>
                <w:sz w:val="18"/>
                <w:szCs w:val="18"/>
                <w:lang w:eastAsia="pl-PL"/>
              </w:rPr>
              <w:t>(w przypadku umów ramowych lub dynamicznego systemu zakupów – szacunkowa całkowita maksymalna wartość w całym okresie obowiązywania umowy ramowej lub dynamicznego systemu zakupów)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 xml:space="preserve">II.7) Czy przewiduje się udzielenie zamówień, o których mowa w art. 67 ust. 1 pkt 6 i 7 lub w art. 134 ust. 6 pkt 3 ustawy </w:t>
            </w:r>
            <w:proofErr w:type="spellStart"/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II.8) Okres, w którym realizowane będzie zamówienie lub okres, na który została zawarta umowa ramowa lub okres, na który został ustanowiony dynamiczny system zakupów: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data zakończenia: 30/06/2017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II.9) Informacje dodatkowe: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>SEKCJA III: INFORMACJE O CHARAKTERZE PRAWNYM, EKONOMICZNYM, FINANSOWYM I TECHNICZNYM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III.1) WARUNKI UDZIAŁU W POSTĘPOWANIU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III.1.1) Kompetencje lub uprawnienia do prowadzenia określonej działalności zawodowej, o ile wynika to z odrębnych przepisów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Określenie warunków: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dodatkowe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III.1.2) Sytuacja finansowa lub ekonomiczna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Określenie warunków: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dodatkowe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III.1.3) Zdolność techniczna lub zawodowa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 xml:space="preserve">Określenie warunków: Warunek ten zostanie uznany za spełniony, jeżeli wykonawca: a) przedstawi wykaz co najmniej 1. roboty budowlanej wykonanej nie wcześniej niż w okresie ostatnich 5 lat przed upływem terminu składania ofert albo wniosków o dopuszczenie do udziału w postępowaniu, a jeżeli okres prowadzenia działalności jest krótszy – w tym 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lastRenderedPageBreak/>
              <w:t>okresie, wraz z podaniem ich rodzaju, wartości (co najmniej 400 000 zł brutto każda),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– inne dokumenty; b) wykaże, iż dysponuje lub będzie dysponował jedną (1) osobą, która będzie uczestniczyć w wykonywaniu zamówienia, posiadającą uprawnienia budowlane odpowiednie dla zakresu zamówienia, tj. do kierowania robotami budowlanymi w specjalności drogowej. Osoba, która będzie uczestniczyć w wykonywaniu zamówienia, musi posiadać wymagane uprawnienia, określone szczegółowo powyżej, potwierdzone stosownymi decyzjami, o których mowa w art. 12 ust. 2 (z uwzględnieniem art. 104) ustawy z dnia 7 lipca 1994 r. Prawo budowlane (tekst jednolity Dz. U. z 2016 r., poz. 290) lub równoważne tzn. odpowiadające im uprawnienia budowlane, które zostały wydane na podstawie wcześniej obowiązujących przepisów. W przypadku wykonawców zagranicznych, dopuszcza się równoważne kwalifikacje, zdobyte w innych państwach, na zasadach określonych w art. 12a ustawy z dnia 7 lipca 1994 r. Prawo budowlane, z uwzględnieniem postanowień ustawy z dnia 18 marca 2008 r. o zasadach uznawania kwalifikacji zawodowych nabytych w państwach członkowskich Unii Europejskiej (Dz. U. 2016 r., poz. 65).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Zamawiający wymaga od wykonawców wskazania w ofercie lub we wniosku o dopuszczenie do udziału w postępowaniu imion i nazwisk osób wykonujących czynności przy realizacji zamówienia wraz z informacją o kwalifikacjach zawodowych lub doświadczeniu tych osób: tak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dodatkowe: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III.2) PODSTAWY WYKLUCZENIA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 xml:space="preserve">III.2.1) Podstawy wykluczenia określone w art. 24 ust. 1 ustawy </w:t>
            </w:r>
            <w:proofErr w:type="spellStart"/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 xml:space="preserve">III.2.2) Zamawiający przewiduje wykluczenie wykonawcy na podstawie art. 24 ust. 5 ustawy </w:t>
            </w:r>
            <w:proofErr w:type="spellStart"/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 xml:space="preserve">(podstawa wykluczenia określona w art. 24 ust. 5 pkt 1 ustawy </w:t>
            </w:r>
            <w:proofErr w:type="spellStart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)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 xml:space="preserve">(podstawa wykluczenia określona w art. 24 ust. 5 pkt 2 ustawy </w:t>
            </w:r>
            <w:proofErr w:type="spellStart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)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 xml:space="preserve">(podstawa wykluczenia określona w art. 24 ust. 5 pkt 8 ustawy </w:t>
            </w:r>
            <w:proofErr w:type="spellStart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)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III.3) WYKAZ OŚWIADCZEŃ SKŁADANYCH PRZEZ WYKONAWCĘ W CELU WSTĘPNEGO POTWIERDZENIA, ŻE NIE PODLEGA ON WYKLUCZENIU ORAZ SPEŁNIA WARUNKI UDZIAŁU W POSTĘPOWANIU ORAZ SPEŁNIA KRYTERIA SELEKCJI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Oświadczenie o niepodleganiu wykluczeniu oraz spełnianiu warunków udziału w postępowaniu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tak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Oświadczenie o spełnianiu kryteriów selekcji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III.4) WYKAZ OŚWIADCZEŃ LUB DOKUMENTÓW , SKŁADANYCH PRZEZ WYKONAWCĘ W POSTĘPOWANIU NA WEZWANIE ZAMAWIAJACEGO W CELU POTWIERDZENIA OKOLICZNOŚCI, O KTÓRYCH MOWA W ART. 25 UST. 1 PKT 3 USTAWY PZP: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1) zaświadczenie właściwego naczelnika urzędu skarbowego potwierdzające, że wykonawca nie zalega z opłacaniem podatków, wystawione nie wcześniej niż 3 miesiące przed upływem terminu składania ofert albo wniosków o dopuszczenie do udziału w postępowaniu, lub inny dokument potwierdzający, że wykonawca zawarł porozumienie z właściwym organem podatkowym w sprawie spłat tych należności wraz z ewentualnymi odsetkami lub grzywnami, w szczególności uzyskał przewidziane prawem zwolnienie, odroczenie lub rozłożenie na raty zaległych płatności lub wstrzymanie w całości wykonania decyzji właściwego organu; 2) zaświadczenie właściwej terenowej jednostki organizacyjnej Zakładu Ubezpieczeń Społecznych lub Kasy Rolniczego Ubezpieczenia Społecznego albo inny dokument potwierdzający, że wykonawca nie zalega z opłacaniem składek na ubezpieczenia społeczne lub zdrowotne, wystawiony nie wcześniej niż 3 miesiące przed upływem terminu składania ofert albo wniosków o dopuszczenie do udziału w postępowaniu, lub inny dokument potwierdzający, że wykonawca zawarł porozumienie z właściwym organem w sprawie spłat tych należności wraz z ewentualnymi odsetkami lub grzywnami, w szczególności uzyskał przewidziane prawem zwolnienie, odroczenie lub rozłożenie na raty zaległych płatności lub wstrzymanie w całości wykonania decyzji właściwego organu; 3) odpis z właściwego rejestru lub z centralnej ewidencji i informacji o działalności gospodarczej, jeżeli odrębne przepisy wymagają wpisu do rejestru lub ewidencji;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III.5) WYKAZ OŚWIADCZEŃ LUB DOKUMENTÓW SKŁADANYCH PRZEZ WYKONAWCĘ W POSTĘPOWANIU NA WEZWANIE ZAMAWIAJACEGO W CELU POTWIERDZENIA OKOLICZNOŚCI, O KTÓRYCH MOWA W ART. 25 UST. 1 PKT 1 USTAWY PZP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III.5.1) W ZAKRESIE SPEŁNIANIA WARUNKÓW UDZIAŁU W POSTĘPOWANIU: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 xml:space="preserve">a) przedstawi wykaz co najmniej 1. roboty budowlanej wykonanej nie wcześniej niż w okresie ostatnich 5 lat przed upływem terminu składania ofert albo wniosków o dopuszczenie do udziału w postępowaniu, a jeżeli okres prowadzenia działalności jest krótszy – w tym okresie, wraz z podaniem ich rodzaju, wartości (co najmniej 400 000 zł brutto każda),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– inne dokumenty; b) wykaże, iż dysponuje lub będzie dysponował jedną (1) osobą, która będzie uczestniczyć w wykonywaniu zamówienia, posiadającą uprawnienia budowlane odpowiednie dla zakresu zamówienia, tj. do kierowania robotami budowlanymi w specjalności drogowej. Osoba, która będzie uczestniczyć w wykonywaniu zamówienia, musi posiadać wymagane uprawnienia, określone szczegółowo powyżej, potwierdzone stosownymi decyzjami, o których mowa w art. 12 ust. 2 (z uwzględnieniem art. 104) ustawy z dnia 7 lipca 1994 r. Prawo budowlane (tekst jednolity Dz. U. z 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lastRenderedPageBreak/>
              <w:t>2016 r., poz. 290) lub równoważne tzn. odpowiadające im uprawnienia budowlane, które zostały wydane na podstawie wcześniej obowiązujących przepisów. W przypadku wykonawców zagranicznych, dopuszcza się równoważne kwalifikacje, zdobyte w innych państwach, na zasadach określonych w art. 12a ustawy z dnia 7 lipca 1994 r. Prawo budowlane, z uwzględnieniem postanowień ustawy z dnia 18 marca 2008 r. o zasadach uznawania kwalifikacji zawodowych nabytych w państwach członkowskich Unii Europejskiej (Dz. U. 2016 r., poz. 65).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III.5.2) W ZAKRESIE KRYTERIÓW SELEKCJI: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III.6) WYKAZ OŚWIADCZEŃ LUB DOKUMENTÓW SKŁADANYCH PRZEZ WYKONAWCĘ W POSTĘPOWANIU NA WEZWANIE ZAMAWIAJACEGO W CELU POTWIERDZENIA OKOLICZNOŚCI, O KTÓRYCH MOWA W ART. 25 UST. 1 PKT 2 USTAWY PZP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III.7) INNE DOKUMENTY NIE WYMIENIONE W pkt III.3) - III.6)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1) wypełniony i podpisany Kwestionariusz ofertowy – Załącznik Nr 1 do SIWZ, 2) dowód wniesienia wadium, 3) pełnomocnictwo do podpisania oferty – w przypadku gdy upoważnienie nie wynika z dokumentów rejestrowych, 4) pełnomocnictwo do reprezentowania w postępowaniu o udzielenie zamówienia albo reprezentowania w postępowaniu i zawarcia umowy w sprawie zamówienia publicznego – w przypadku gdy wykonawcy ubiegają się wspólnie o zamówienie, 5) kosztorys ofertowy sporządzony w oparciu o przedmiar robót, stanowiący załącznik do SIWZ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>SEKCJA IV: PROCEDURA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IV.1) OPIS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IV.1.1) Tryb udzielenia zamówienia: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przetarg nieograniczony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IV.1.2) Zamawiający żąda wniesienia wadium: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tak,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Informacja na temat wadium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 xml:space="preserve">1. Wykonawca składający ofertę zobowiązany jest wnieść wadium w wysokości 4 000,00 zł w terminie do 14.04.2017r. do godz. 9.45 2. Wadium może być wnoszone: a) pieniądzu w formie: - przelewu bankowego na konto Starostwa Powiatowego Bank Spółdzielczy Nr 78 8507 0004 2001 0047 5042 0003 b) poręczeniach bankowych złożonych w Referacie Zamówień Publicznych i Przetargów c) gwarancjach bankowych złożonych w Referacie Zamówień Publicznych i Przetargów d) gwarancjach ubezpieczeniowych Referacie Zamówień Publicznych i Przetargów e) w poręczeniach udzielanych przez podmioty, o których mowa w art. 6 ust.3 pkt 4 lit. b ustawy z dnia 9 listopada 2000 r. o utworzeniu Polskiej Agencji Rozwoju Przedsiębiorczości (Dz. U. Nr 109, poz. 1158 oraz z 2002 r. Nr 25, poz. 253, Nr 66, poz. 596 i Nr 216, poz. 1824) 4. O uznaniu przez Zamawiającego, że wadium w pieniądzu wpłacono w wymaganym terminie, będzie decydować termin wpływu środków na rachunek Zamawiającego. 5. Wadium wniesione w formie niepieniężnej (art. 45 ust. 6 pkt 2-5 ustawy </w:t>
            </w:r>
            <w:proofErr w:type="spellStart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) musi posiadać okres ważności nie krótszy niż okres związania ofertą. Przed upływem terminu składania ofert Oryginał należy dołączyć do oferty. 6. Zamawiający dokona zwrotu wadium zgodnie z warunkami określonymi w art. 46 ust. 1-4 ustawy </w:t>
            </w:r>
            <w:proofErr w:type="spellStart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 xml:space="preserve">. Zgodnie z art. 46 ust. 4a ustawy </w:t>
            </w:r>
            <w:proofErr w:type="spellStart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. 7. Zamawiający zatrzymuje wadium wraz z odsetkami, jeżeli wykonawca w odpowiedzi na wezwanie, o którym mowa w art. 26 ust. 3 i 3a, z przyczyn leżących po jego stronie, nie złożył oświadczeń lub dokumentów potwierdzających okoliczności, o których mowa w art. 25 ust. 1, oświadczenia, o którym mowa w art. 25a ust. 1, pełnomocnictw lub nie wyraził zgody na poprawienie omyłki, o której mowa w art. 87 ust. 2 pkt 3, co spowodowało brak możliwości wybrania oferty złożonej przez wykonawcę jako najkorzystniejszej. Ponadto zgodnie z art. 46 ust. 5 w/w ustawy Zamawiający zatrzymuje wadium wraz z odsetkami, jeżeli Wykonawca, którego oferta została wybrana: 1) odmówił podpisania umowy w sprawie zamówienia publicznego na warunkach określonych w ofercie; 2) nie wniósł wymaganego zabezpieczenia należytego wykonania umowy; 3) zawarcie umowy w sprawie zamówienia publicznego stało się niemożliwe z przyczyn leżących po stronie Wykonawcy.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IV.1.3) Przewiduje się udzielenie zaliczek na poczet wykonania zamówienia: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IV.1.4) Wymaga się złożenia ofert w postaci katalogów elektronicznych lub dołączenia do ofert katalogów elektronicznych: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Dopuszcza się złożenie ofert w postaci katalogów elektronicznych lub dołączenia do ofert katalogów elektronicznych: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dodatkowe: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IV.1.5.) Wymaga się złożenia oferty wariantowej: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Dopuszcza się złożenie oferty wariantowej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Złożenie oferty wariantowej dopuszcza się tylko z jednoczesnym złożeniem oferty zasadniczej: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IV.1.6) Przewidywana liczba wykonawców, którzy zostaną zaproszeni do udziału w postępowaniu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i/>
                <w:iCs/>
                <w:color w:val="000000"/>
                <w:sz w:val="18"/>
                <w:szCs w:val="18"/>
                <w:lang w:eastAsia="pl-PL"/>
              </w:rPr>
              <w:t>(przetarg ograniczony, negocjacje z ogłoszeniem, dialog konkurencyjny, partnerstwo innowacyjne)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Liczba wykonawców 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Przewidywana minimalna liczba wykonawców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Maksymalna liczba wykonawców 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Kryteria selekcji wykonawców: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lastRenderedPageBreak/>
              <w:t>IV.1.7) Informacje na temat umowy ramowej lub dynamicznego systemu zakupów: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Umowa ramowa będzie zawarta: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Czy przewiduje się ograniczenie liczby uczestników umowy ramowej: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dodatkowe: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Zamówienie obejmuje ustanowienie dynamicznego systemu zakupów: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dodatkowe: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 ramach umowy ramowej/dynamicznego systemu zakupów dopuszcza się złożenie ofert w formie katalogów elektronicznych: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Przewiduje się pobranie ze złożonych katalogów elektronicznych informacji potrzebnych do sporządzenia ofert w ramach umowy ramowej/dynamicznego systemu zakupów: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IV.1.8) Aukcja elektroniczna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Przewidziane jest przeprowadzenie aukcji elektronicznej </w:t>
            </w:r>
            <w:r w:rsidRPr="00DD0F50">
              <w:rPr>
                <w:rFonts w:ascii="Tahoma" w:eastAsia="Times New Roman" w:hAnsi="Tahoma" w:cs="Tahoma"/>
                <w:i/>
                <w:iCs/>
                <w:color w:val="000000"/>
                <w:sz w:val="18"/>
                <w:szCs w:val="18"/>
                <w:lang w:eastAsia="pl-PL"/>
              </w:rPr>
              <w:t>(przetarg nieograniczony, przetarg ograniczony, negocjacje z ogłoszeniem)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Należy wskazać elementy, których wartości będą przedmiotem aukcji elektronicznej: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Przewiduje się ograniczenia co do przedstawionych wartości, wynikające z opisu przedmiotu zamówienia: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Należy podać, które informacje zostaną udostępnione wykonawcom w trakcie aukcji elektronicznej oraz jaki będzie termin ich udostępnienia: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dotyczące przebiegu aukcji elektronicznej: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Jaki jest przewidziany sposób postępowania w toku aukcji elektronicznej i jakie będą warunki, na jakich wykonawcy będą mogli licytować (minimalne wysokości postąpień):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dotyczące wykorzystywanego sprzętu elektronicznego, rozwiązań i specyfikacji technicznych w zakresie połączeń: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Wymagania dotyczące rejestracji i identyfikacji wykonawców w aukcji elektronicznej: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o liczbie etapów aukcji elektronicznej i czasie ich trwania: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Aukcja wieloetapowa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1848"/>
            </w:tblGrid>
            <w:tr w:rsidR="00DD0F50" w:rsidRPr="00DD0F50" w:rsidTr="00DD0F5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D0F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etap nr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D0F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czas trwania etapu</w:t>
                  </w:r>
                </w:p>
              </w:tc>
            </w:tr>
            <w:tr w:rsidR="00DD0F50" w:rsidRPr="00DD0F50" w:rsidTr="00DD0F5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Czy wykonawcy, którzy nie złożyli nowych postąpień, zostaną zakwalifikowani do następnego etapu: 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Warunki zamknięcia aukcji elektronicznej: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IV.2) KRYTERIA OCENY OFERT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IV.2.1) Kryteria oceny ofert: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IV.2.2) Kryteria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15"/>
              <w:gridCol w:w="1049"/>
            </w:tblGrid>
            <w:tr w:rsidR="00DD0F50" w:rsidRPr="00DD0F50" w:rsidTr="00DD0F5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D0F50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Kryteria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D0F50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Znaczenie</w:t>
                  </w:r>
                </w:p>
              </w:tc>
            </w:tr>
            <w:tr w:rsidR="00DD0F50" w:rsidRPr="00DD0F50" w:rsidTr="00DD0F5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D0F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Cena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D0F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60</w:t>
                  </w:r>
                </w:p>
              </w:tc>
            </w:tr>
            <w:tr w:rsidR="00DD0F50" w:rsidRPr="00DD0F50" w:rsidTr="00DD0F5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D0F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Gwarancja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D0F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40</w:t>
                  </w:r>
                </w:p>
              </w:tc>
            </w:tr>
          </w:tbl>
          <w:p w:rsidR="00DD0F50" w:rsidRPr="00DD0F50" w:rsidRDefault="00DD0F50" w:rsidP="00DD0F50">
            <w:pPr>
              <w:spacing w:after="0" w:line="240" w:lineRule="auto"/>
              <w:ind w:right="-993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 xml:space="preserve">IV.2.3) Zastosowanie procedury, o której mowa w art. 24aa ust. 1 ustawy </w:t>
            </w:r>
            <w:proofErr w:type="spellStart"/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Pzp</w:t>
            </w:r>
            <w:proofErr w:type="spellEnd"/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(przetarg nieograniczony)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tak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IV.3) Negocjacje z ogłoszeniem, dialog konkurencyjny, partnerstwo innowacyjne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IV.3.1) Informacje na temat negocjacji z ogłoszeniem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Minimalne wymagania, które muszą spełniać wszystkie oferty: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Przewidziane jest zastrzeżenie prawa do udzielenia zamówienia na podstawie ofert wstępnych bez przeprowadzenia negocjacji 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Przewidziany jest podział negocjacji na etapy w celu ograniczenia liczby ofert: 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Należy podać informacje na temat etapów negocjacji (w tym liczbę etapów):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dodatkowe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IV.3.2) Informacje na temat dialogu konkurencyjnego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Opis potrzeb i wymagań zamawiającego lub informacja o sposobie uzyskania tego opisu: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 xml:space="preserve">Informacja o wysokości nagród dla wykonawców, którzy podczas dialogu konkurencyjnego przedstawili rozwiązania stanowiące 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lastRenderedPageBreak/>
              <w:t>podstawę do składania ofert, jeżeli zamawiający przewiduje nagrody: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Wstępny harmonogram postępowania: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Podział dialogu na etapy w celu ograniczenia liczby rozwiązań: 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Należy podać informacje na temat etapów dialogu: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dodatkowe: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IV.3.3) Informacje na temat partnerstwa innowacyjnego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Elementy opisu przedmiotu zamówienia definiujące minimalne wymagania, którym muszą odpowiadać wszystkie oferty: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Podział negocjacji na etapy w celu ograniczeniu liczby ofert podlegających negocjacjom poprzez zastosowanie kryteriów oceny ofert wskazanych w specyfikacji istotnych warunków zamówienia: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dodatkowe: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IV.4) Licytacja elektroniczna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Adres strony internetowej, na której będzie prowadzona licytacja elektroniczna: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Adres strony internetowej, na której jest dostępny opis przedmiotu zamówienia w licytacji elektronicznej: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Wymagania dotyczące rejestracji i identyfikacji wykonawców w licytacji elektronicznej, w tym wymagania techniczne urządzeń informatycznych: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Sposób postępowania w toku licytacji elektronicznej, w tym określenie minimalnych wysokości postąpień: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Informacje o liczbie etapów licytacji elektronicznej i czasie ich trwania: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Licytacja wieloetapowa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5"/>
              <w:gridCol w:w="1848"/>
            </w:tblGrid>
            <w:tr w:rsidR="00DD0F50" w:rsidRPr="00DD0F50" w:rsidTr="00DD0F5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D0F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etap nr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DD0F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czas trwania etapu</w:t>
                  </w:r>
                </w:p>
              </w:tc>
            </w:tr>
            <w:tr w:rsidR="00DD0F50" w:rsidRPr="00DD0F50" w:rsidTr="00DD0F5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DD0F50" w:rsidRPr="00DD0F50" w:rsidRDefault="00DD0F50" w:rsidP="00DD0F5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Wykonawcy, którzy nie złożyli nowych postąpień, zostaną zakwalifikowani do następnego etapu: nie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Termin otwarcia licytacji elektronicznej: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Termin i warunki zamknięcia licytacji elektronicznej: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Istotne dla stron postanowienia, które zostaną wprowadzone do treści zawieranej umowy w sprawie zamówienia publicznego, albo ogólne warunki umowy, albo wzór umowy: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Wymagania dotyczące zabezpieczenia należytego wykonania umowy: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Informacje dodatkowe: 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IV.5) ZMIANA UMOWY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Przewiduje się istotne zmiany postanowień zawartej umowy w stosunku do treści oferty, na podstawie której dokonano wyboru wykonawcy: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IV.6) INFORMACJE ADMINISTRACYJNE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IV.6.1) Sposób udostępniania informacji o charakterze poufnym </w:t>
            </w:r>
            <w:r w:rsidRPr="00DD0F50">
              <w:rPr>
                <w:rFonts w:ascii="Tahoma" w:eastAsia="Times New Roman" w:hAnsi="Tahoma" w:cs="Tahoma"/>
                <w:i/>
                <w:iCs/>
                <w:color w:val="000000"/>
                <w:sz w:val="18"/>
                <w:szCs w:val="18"/>
                <w:lang w:eastAsia="pl-PL"/>
              </w:rPr>
              <w:t>(jeżeli dotyczy):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Środki służące ochronie informacji o charakterze poufnym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• Zgodnie z art. 8 ust. 3 ustawy Prawo zamówień publicznych dotyczącymi jawności postępowania oraz w związku ustawą o zwalczaniu nieuczciwej konkurencji, wykonawca, nie później niż w terminie składania ofert, zastrzeże, że informacje nie mogą być udostępniane oraz wykaże, iż zastrzeżone informacje stanowią tajemnicę przedsiębiorstwa. Wykonawca w tym celu może złożyć jedną ofertę składającą się z dwóch części: - części jawnej, - części niejawnej – w sytuacji, w której wykonawca zastrzega sobie tajemnicę przedsiębiorstwa, za wyjątkiem informacji, o których mowa w art. 86 ust. 4 ustawy Prawo zamówień publicznych nie stanowiących tajemnicy przedsiębiorstwa – powinien ją oznaczyć w sposób nie budzący wątpliwości np. w odrębnym opakowaniu oznaczonym napisem: „Tajemnica przedsiębiorstwa. Nie udostępniać innym uczestnikom postępowania”. • Brak powyższego zastrzeżenia zwalnia zamawiającego od odpowiedzialności ujawnienia zgodnie z art. 8 ust. 3 ustawy Prawo zamówień publicznych, danych zawartych w ofercie.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IV.6.2) Termin składania ofert lub wniosków o dopuszczenie do udziału w postępowaniu: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Data: 14/04/2017, godzina: 09:45,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Skrócenie terminu składania wniosków, ze względu na pilną potrzebę udzielenia zamówienia (przetarg nieograniczony, przetarg ograniczony, negocjacje z ogłoszeniem):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Wskazać powody: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Język lub języki, w jakich mogą być sporządzane oferty lub wnioski o dopuszczenie do udziału w postępowaniu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  <w:t>&gt; język polski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lastRenderedPageBreak/>
              <w:t>IV.6.3) Termin związania ofertą: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okres w dniach: 30 (od ostatecznego terminu składania ofert)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nie </w:t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br/>
            </w:r>
            <w:r w:rsidRPr="00DD0F5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pl-PL"/>
              </w:rPr>
              <w:t>IV.6.6) Informacje dodatkowe:</w:t>
            </w:r>
          </w:p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DD0F50" w:rsidRPr="00DD0F50" w:rsidRDefault="00DD0F50" w:rsidP="00DD0F5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ahoma" w:eastAsia="Times New Roman" w:hAnsi="Tahoma" w:cs="Tahoma"/>
                <w:noProof/>
                <w:color w:val="0000FF"/>
                <w:sz w:val="18"/>
                <w:szCs w:val="18"/>
                <w:lang w:eastAsia="pl-PL"/>
              </w:rPr>
              <w:lastRenderedPageBreak/>
              <w:drawing>
                <wp:inline distT="0" distB="0" distL="0" distR="0" wp14:anchorId="5CA3F829" wp14:editId="197429EB">
                  <wp:extent cx="152400" cy="152400"/>
                  <wp:effectExtent l="0" t="0" r="0" b="0"/>
                  <wp:docPr id="3" name="Obraz 3" descr="Zwiększ rozmiar czcionki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Zwiększ rozmiar czcionki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</w:t>
            </w:r>
            <w:bookmarkStart w:id="0" w:name="_GoBack"/>
            <w:bookmarkEnd w:id="0"/>
            <w:r>
              <w:rPr>
                <w:rFonts w:ascii="Tahoma" w:eastAsia="Times New Roman" w:hAnsi="Tahoma" w:cs="Tahoma"/>
                <w:noProof/>
                <w:color w:val="0000FF"/>
                <w:sz w:val="18"/>
                <w:szCs w:val="18"/>
                <w:lang w:eastAsia="pl-PL"/>
              </w:rPr>
              <w:drawing>
                <wp:inline distT="0" distB="0" distL="0" distR="0" wp14:anchorId="1878DADD" wp14:editId="6F71167E">
                  <wp:extent cx="152400" cy="152400"/>
                  <wp:effectExtent l="0" t="0" r="0" b="0"/>
                  <wp:docPr id="2" name="Obraz 2" descr="Ustaw domyślny rozmiar czcionki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Ustaw domyślny rozmiar czcionki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0F5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 </w:t>
            </w:r>
            <w:r>
              <w:rPr>
                <w:rFonts w:ascii="Tahoma" w:eastAsia="Times New Roman" w:hAnsi="Tahoma" w:cs="Tahoma"/>
                <w:noProof/>
                <w:color w:val="0000FF"/>
                <w:sz w:val="18"/>
                <w:szCs w:val="18"/>
                <w:lang w:eastAsia="pl-PL"/>
              </w:rPr>
              <w:drawing>
                <wp:inline distT="0" distB="0" distL="0" distR="0" wp14:anchorId="6078C12E" wp14:editId="1397E0A6">
                  <wp:extent cx="152400" cy="152400"/>
                  <wp:effectExtent l="0" t="0" r="0" b="0"/>
                  <wp:docPr id="1" name="Obraz 1" descr="Zmniejsz rozmiar czcionki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Zmniejsz rozmiar czcionki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13AE" w:rsidRDefault="006913AE" w:rsidP="00DD0F50">
      <w:pPr>
        <w:spacing w:after="0" w:line="240" w:lineRule="auto"/>
      </w:pPr>
    </w:p>
    <w:p w:rsidR="00DD0F50" w:rsidRDefault="00DD0F50">
      <w:pPr>
        <w:spacing w:after="0" w:line="240" w:lineRule="auto"/>
      </w:pPr>
    </w:p>
    <w:sectPr w:rsidR="00DD0F50" w:rsidSect="00DD0F50">
      <w:pgSz w:w="11906" w:h="16838"/>
      <w:pgMar w:top="851" w:right="1417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F50"/>
    <w:rsid w:val="006913AE"/>
    <w:rsid w:val="00DD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D0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D0F50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DD0F50"/>
  </w:style>
  <w:style w:type="paragraph" w:styleId="Tekstdymka">
    <w:name w:val="Balloon Text"/>
    <w:basedOn w:val="Normalny"/>
    <w:link w:val="TekstdymkaZnak"/>
    <w:uiPriority w:val="99"/>
    <w:semiHidden/>
    <w:unhideWhenUsed/>
    <w:rsid w:val="00DD0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0F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D0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D0F50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DD0F50"/>
  </w:style>
  <w:style w:type="paragraph" w:styleId="Tekstdymka">
    <w:name w:val="Balloon Text"/>
    <w:basedOn w:val="Normalny"/>
    <w:link w:val="TekstdymkaZnak"/>
    <w:uiPriority w:val="99"/>
    <w:semiHidden/>
    <w:unhideWhenUsed/>
    <w:rsid w:val="00DD0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0F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0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59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8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53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69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169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20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13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06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148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5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3923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57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76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501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570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1998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08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77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6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400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723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481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973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052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52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75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221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133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424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33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104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6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26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13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991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673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64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6299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86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175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1033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29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407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09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bzp.uzp.gov.pl/Out/Browser.aspx?id=13eed6de-4367-4623-88f9-9d09ba7a3678&amp;path=2017%5c03%5c20170330%5c55030_2017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3479</Words>
  <Characters>20876</Characters>
  <Application>Microsoft Office Word</Application>
  <DocSecurity>0</DocSecurity>
  <Lines>173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rzajaczkowski</cp:lastModifiedBy>
  <cp:revision>1</cp:revision>
  <dcterms:created xsi:type="dcterms:W3CDTF">2017-03-30T10:37:00Z</dcterms:created>
  <dcterms:modified xsi:type="dcterms:W3CDTF">2017-03-30T10:40:00Z</dcterms:modified>
</cp:coreProperties>
</file>