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2A4" w:rsidRPr="00C501A0" w:rsidRDefault="00F122A4" w:rsidP="00126C84">
      <w:pPr>
        <w:shd w:val="clear" w:color="auto" w:fill="FFFFFF" w:themeFill="background1"/>
        <w:spacing w:after="0" w:line="240" w:lineRule="auto"/>
        <w:jc w:val="center"/>
        <w:rPr>
          <w:b/>
          <w:bCs/>
          <w:color w:val="000000"/>
          <w:sz w:val="36"/>
          <w:szCs w:val="36"/>
          <w:u w:val="single"/>
        </w:rPr>
      </w:pPr>
      <w:r w:rsidRPr="00C501A0">
        <w:rPr>
          <w:b/>
          <w:bCs/>
          <w:color w:val="000000"/>
          <w:sz w:val="36"/>
          <w:szCs w:val="36"/>
          <w:u w:val="single"/>
        </w:rPr>
        <w:t>OGŁOSZENIE O ZAMÓWIENIU</w:t>
      </w:r>
    </w:p>
    <w:p w:rsidR="00F122A4" w:rsidRDefault="00F122A4" w:rsidP="00126C84">
      <w:pPr>
        <w:shd w:val="clear" w:color="auto" w:fill="FFFFFF" w:themeFill="background1"/>
        <w:spacing w:after="0" w:line="240" w:lineRule="auto"/>
        <w:jc w:val="center"/>
        <w:rPr>
          <w:b/>
          <w:sz w:val="36"/>
          <w:szCs w:val="36"/>
        </w:rPr>
      </w:pPr>
      <w:r w:rsidRPr="00C501A0">
        <w:rPr>
          <w:b/>
          <w:sz w:val="36"/>
          <w:szCs w:val="36"/>
        </w:rPr>
        <w:t>Powyżej 30 000 EURO, poniżej progów unijnych</w:t>
      </w:r>
    </w:p>
    <w:tbl>
      <w:tblPr>
        <w:tblW w:w="11540" w:type="dxa"/>
        <w:tblCellSpacing w:w="0" w:type="dxa"/>
        <w:tblInd w:w="-70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908"/>
      </w:tblGrid>
      <w:tr w:rsidR="00126C84" w:rsidRPr="00126C84" w:rsidTr="00126C84">
        <w:trPr>
          <w:tblCellSpacing w:w="0" w:type="dxa"/>
        </w:trPr>
        <w:tc>
          <w:tcPr>
            <w:tcW w:w="10632" w:type="dxa"/>
            <w:shd w:val="clear" w:color="auto" w:fill="FFFFFF"/>
            <w:vAlign w:val="center"/>
            <w:hideMark/>
          </w:tcPr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Adres strony internetowej, na której zamieszczona będzie specyfikacja istotnych warunków zamówienia (jeżeli dotyczy):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hyperlink r:id="rId5" w:tgtFrame="_blank" w:history="1">
              <w:r w:rsidRPr="00126C84">
                <w:rPr>
                  <w:rFonts w:ascii="Tahoma" w:eastAsia="Times New Roman" w:hAnsi="Tahoma" w:cs="Tahoma"/>
                  <w:color w:val="000000"/>
                  <w:sz w:val="18"/>
                  <w:szCs w:val="18"/>
                  <w:u w:val="single"/>
                  <w:lang w:eastAsia="pl-PL"/>
                </w:rPr>
                <w:t>http://www.ostrowiecki.eu</w:t>
              </w:r>
            </w:hyperlink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pict>
                <v:rect id="_x0000_i1025" style="width:0;height:1.5pt" o:hralign="center" o:hrstd="t" o:hr="t" fillcolor="#a0a0a0" stroked="f"/>
              </w:pic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Ogłoszenie nr 367750 - 2016 z dnia 2016-12-15 r.</w:t>
            </w:r>
          </w:p>
          <w:p w:rsidR="00126C84" w:rsidRPr="00126C84" w:rsidRDefault="00126C84" w:rsidP="00126C8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  <w:lang w:eastAsia="pl-PL"/>
              </w:rPr>
              <w:t>Ostrowiec Świętokrzyski: Kompleksowa obsługa informatyczna Starostwa Powiatowego w Ostrowcu Świętokrzyskim </w:t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  <w:lang w:eastAsia="pl-PL"/>
              </w:rPr>
              <w:br/>
              <w:t>OGŁOSZENIE O ZAMÓWIENIU - Usługi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Zamieszczanie ogłoszenia: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 obowiązkowe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Ogłoszenie dotyczy: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 zamówienia publicznego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Zamówienie dotyczy projektu lub programu współfinansowanego ze środków Unii Europejskiej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Nazwa projektu lub programu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 xml:space="preserve">Należy podać minimalny procentowy wskaźnik zatrudnienia osób należących do jednej lub więcej kategorii, o których mowa w art. 22 ust. 2 ustawy </w:t>
            </w: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Pzp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, nie mniejszy niż 30%, osób zatrudnionych przez zakłady pracy chronionej lub wykonawców albo ich jednostki (w %)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SEKCJA I: ZAMAWIAJĄCY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Postępowanie przeprowadza centralny zamawiający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Postępowanie przeprowadza podmiot, któremu zamawiający powierzył/powierzyli przeprowadzenie postępowania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Informacje na temat podmiotu któremu zamawiający powierzył/powierzyli prowadzenie postępowania: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Postępowanie jest przeprowadzane wspólnie przez zamawiających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Jeżeli tak, należy wymienić zamawiających, którzy wspólnie przeprowadzają postępowanie oraz podać adresy ich siedzib, krajowe numery identyfikacyjne oraz osoby do kontaktów wraz z danymi do kontaktów: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Postępowanie jest przeprowadzane wspólnie z zamawiającymi z innych państw członkowskich Unii Europejskiej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W przypadku przeprowadzania postępowania wspólnie z zamawiającymi z innych państw członkowskich Unii Europejskiej – mające zastosowanie krajowe prawo zamówień publicznych: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Informacje dodatkowe: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I. 1) NAZWA I ADRES: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Powiat Ostrowiecki, krajowy numer identyfikacyjny 29101853700000, ul. ul. Iłżecka  37, 27400   Ostrowiec Świętokrzyski, woj. świętokrzyskie, państwo Polska, tel. 412 476 965, e-mail starostwo@powiat.ostrowiecki.eu, faks 412 476 610.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Adres strony internetowej (URL): www.ostrowiecki.eu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I. 2) RODZAJ ZAMAWIAJĄCEGO: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Administracja samorządowa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I.3) WSPÓLNE UDZIELANIE ZAMÓWIENIA </w:t>
            </w:r>
            <w:r w:rsidRPr="00126C84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(jeżeli dotyczy)</w:t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I.4) KOMUNIKACJA: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Nieograniczony, pełny i bezpośredni dostęp do dokumentów z postępowania można uzyskać pod adresem (URL)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tak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www.ostrowiecki.eu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Adres strony internetowej, na której zamieszczona będzie specyfikacja istotnych warunków zamówienia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tak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www.ostrowiecki.eu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Dostęp do dokumentów z postępowania jest ograniczony - więcej informacji można uzyskać pod adresem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Oferty lub wnioski o dopuszczenie do udziału w postępowaniu należy przesyłać: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Elektronicznie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adres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Dopuszczone jest przesłanie ofert lub wniosków o dopuszczenie do udziału w postępowaniu w inny sposób: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Wymagane jest przesłanie ofert lub wniosków o dopuszczenie do udziału w postępowaniu w inny sposób: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tak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Inny sposób: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Ofertę należy złożyć w formie pisemnej pod rygorem nieważności, Składanie ofert odbywa się za pośrednictwem operatora pocztowego w rozumieniu ustawy z dnia 23 listopada 2012 r. Prawo pocztowe (Dz. U. z 2012 r. poz. 1529 oraz z 2015 r. poz. 1830), osobiście lub za pośrednictwem posłańca.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Adres: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Wydział Rozwoju Powiatu - Referat Zamówień Publicznych i Przetargów, Starostwo Powiatowe w Ostrowcu Świętokrzyskim, ul. Iłżecka 37, 27-400 Ostrowiec Św., pokój 308, III piętro budynku.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Komunikacja elektroniczna wymaga korzystania z narzędzi i urządzeń lub formatów plików, które nie są ogólnie dostępne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Nieograniczony, pełny, bezpośredni i bezpłatny dostęp do tych narzędzi można uzyskać pod adresem: (URL)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SEKCJA II: PRZEDMIOT ZAMÓWIENIA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II.1) Nazwa nadana zamówieniu przez zamawiającego: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Kompleksowa obsługa informatyczna Starostwa Powiatowego w Ostrowcu Świętokrzyskim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Numer referencyjny: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RI.II.272.25.2016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Przed wszczęciem postępowania o udzielenie zamówienia przeprowadzono dialog techniczny </w:t>
            </w:r>
          </w:p>
          <w:p w:rsidR="00126C84" w:rsidRPr="00126C84" w:rsidRDefault="00126C84" w:rsidP="00126C84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II.2) Rodzaj zamówienia: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usługi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II.3) Informacja o możliwości składania ofert częściowych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Zamówienie podzielone jest na części: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Tak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Oferty lub wnioski o dopuszczenie do udziału w postępowaniu można składać w odniesieniu do: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wszystkich części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II.4) Krótki opis przedmiotu zamówienia </w:t>
            </w:r>
            <w:r w:rsidRPr="00126C84">
              <w:rPr>
                <w:rFonts w:ascii="Tahoma" w:eastAsia="Times New Roman" w:hAnsi="Tahoma" w:cs="Tahoma"/>
                <w:i/>
                <w:iCs/>
                <w:color w:val="000000"/>
                <w:sz w:val="18"/>
                <w:szCs w:val="18"/>
                <w:lang w:eastAsia="pl-PL"/>
              </w:rPr>
              <w:t>(wielkość, zakres, rodzaj i ilość dostaw, usług lub robót budowlanych lub określenie zapotrzebowania i wymagań )</w:t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 a w przypadku partnerstwa innowacyjnego - określenie zapotrzebowania na innowacyjny produkt, usługę lub roboty budowlane: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 xml:space="preserve">Kompleksowa obsługa informatyczna Starostwa Powiatowego w Ostrowcu Świętokrzyskim. Zamawiający podzielił zamówienie na 2 zadania: część I - „Obsługa informatyczna Starostwa Powiatowego w Ostrowcu Świętokrzyskim przy ul. Iłżeckiej 3 z wyłączeniem Wydziału Geodezji, Kartografii i Katastru" część II - „Obsługa informatyczna Wydziału Geodezji, Kartografii i Katastru Starostwa Powiatowego w Ostrowcu Świętokrzyskim przy ul. Wardyńskiego 1” 2.Szczegółowy zakres robót i sposób wykonania zamówienia określają Umowy stanowiące załącznik Nr 7 do SIWZ oraz Szczegółowy opis przedmiotu zamówienia stanowiący załącznik Nr 1 do Umowy Zamawiający w oparciu o art. 29 ust. 3a ustawy wymaga aby przez cały okres realizacji robót Wykonawca zatrudniał na umowę o pracę pracowników bezpośrednio związanych z wykonywaniem usługi. Dla wykonania przedmiotu zamówienia Wykonawca lub Podwykonawca, lub dalszy Podwykonawca zatrudni osoby, zgodnie z art.22 § 1 ustawy z dnia 26.06.1974 r. – Kodeks Pracy (Dz. U. z dnia 2014 r. poz. 1502 z </w:t>
            </w: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 xml:space="preserve">. zm.) posiadające niezbędne kwalifikacje i uprawnienia w zakresie wykonywanych prac: 1. Wymagane jest zatrudnienie przez Wykonawcę lub Podwykonawcę pracownika do usuwania awarii sprzętu komputerowego. (dla części I </w:t>
            </w: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i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 xml:space="preserve"> II zadania.) 2. W dniu podpisania umowy Wykonawca przedstawi wykaz osób zatrudnionych bezpośrednio przy realizacji zamówienia i dokumenty poświadczające formę zatrudnienia. 3. W trakcie trwania umowy, każdorazowo na wniosek Zamawiającego Wykonawca przedłoży do wglądu dokumenty, które określą wyłącznie formę oraz okres zatrudnienia pracowników wymienionych w ust. 1. 4. W przypadku nieprzedłożenia przez Wykonawcę dokumentów określonych w ust. 3 Zamawiający naliczy Wykonawcy karę w wysokości 5 000,00 zł brutto. W przypadku powtórnego nieprzedłożenia przez Wykonawcę wymienionych dokumentów okresie 7 dni od daty pierwszego wniosku o ich udostępnienie, Zamawiający zastrzega sobie możliwość rozwiązania umowy z winy Wykonawcy naliczając karę umowną w wysokości 10 000,00 zł brutto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II.5) Główny kod CPV: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72222300-0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II.6) Całkowita wartość zamówienia </w:t>
            </w:r>
            <w:r w:rsidRPr="00126C84">
              <w:rPr>
                <w:rFonts w:ascii="Tahoma" w:eastAsia="Times New Roman" w:hAnsi="Tahoma" w:cs="Tahoma"/>
                <w:i/>
                <w:iCs/>
                <w:color w:val="000000"/>
                <w:sz w:val="18"/>
                <w:szCs w:val="18"/>
                <w:lang w:eastAsia="pl-PL"/>
              </w:rPr>
              <w:t>(jeżeli zamawiający podaje informacje o wartości zamówienia)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Wartość bez VAT: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Waluta: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i/>
                <w:iCs/>
                <w:color w:val="000000"/>
                <w:sz w:val="18"/>
                <w:szCs w:val="18"/>
                <w:lang w:eastAsia="pl-PL"/>
              </w:rPr>
              <w:t>(w przypadku umów ramowych lub dynamicznego systemu zakupów – szacunkowa całkowita maksymalna wartość w całym okresie obowiązywania umowy ramowej lub dynamicznego systemu zakupów)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 xml:space="preserve">II.7) Czy przewiduje się udzielenie zamówień, o których mowa w art. 67 ust. 1 pkt 6 i 7 lub w art. 134 ust. 6 pkt 3 </w:t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 xml:space="preserve">ustawy </w:t>
            </w:r>
            <w:proofErr w:type="spellStart"/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Pzp</w:t>
            </w:r>
            <w:proofErr w:type="spellEnd"/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tak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 xml:space="preserve">Określenie przedmiotu, wielkości lub zakresu oraz warunków na jakich zostaną udzielone zamówienia, o których mowa w art. 67 ust. 1 pkt 6 lub w art. 134 ust. 6 pkt 3 ustawy </w:t>
            </w: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Pzp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: Nie są przewidywane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II.8) Okres, w którym realizowane będzie zamówienie lub okres, na który została zawarta umowa ramowa lub okres, na który został ustanowiony dynamiczny system zakupów: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data rozpoczęcia: 01/01/2017 data zakończenia: 31/12/2018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II.9) Informacje dodatkowe: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SEKCJA III: INFORMACJE O CHARAKTERZE PRAWNYM, EKONOMICZNYM, FINANSOWYM I TECHNICZNYM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III.1) WARUNKI UDZIAŁU W POSTĘPOWANIU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III.1.1) Kompetencje lub uprawnienia do prowadzenia określonej działalności zawodowej, o ile wynika to z odrębnych przepisów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Określenie warunków: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dodatkowe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III.1.2) Sytuacja finansowa lub ekonomiczna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Określenie warunków: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dodatkowe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III.1.3) Zdolność techniczna lub zawodowa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 xml:space="preserve">Określenie warunków: - Wykaz co najmniej 1 usługi o charakterze i wartości zbliżonej do przedmiotu zamówienia (polegającej na kompleksowej obsłudze informatycznej w jednostce samorządowej) wykonanej lub w przypadku świadczeń okresowych lub ciągłych również wykonywanej w przeciągu ostatnich 3 lat przed terminem składania ofert, a jeśli okres prowadzenia działalności jest krótszy, to w tym okresie wraz z podaniem ich wartości, przedmiotu, daty wykonania i podmiotów na rzecz których zostały te usługi wykonane oraz załączenie dowodów, czy zostały wykonane lub są wykonywane należycie. - Poświadczona za zgodność z oryginałem kserokopia dokumentu potwierdzającego, że co najmniej jedna osoba u oferenta posiada tytuł min. MCP (Microsoft </w:t>
            </w: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Certified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 xml:space="preserve"> Professional) – dla części I - Poświadczona za zgodność z oryginałem kserokopia dokumentu potwierdzającego, że co najmniej jedna osoba u oferenta posiada udokumentowane doświadczenie w obszarze związanym z </w:t>
            </w: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geomatyką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 xml:space="preserve"> (geoinformatyką) – dla części II - Oświadczenie, że w celu zapewnienia właściwego poziomu obsługi, Wykonawca zobowiązuje się do codziennej wizyty przedstawiciela Wykonawcy w siedzibie zamawiającego odpowiednio dla każdej części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Zamawiający wymaga od wykonawców wskazania w ofercie lub we wniosku o dopuszczenie do udziału w postępowaniu imion i nazwisk osób wykonujących czynności przy realizacji zamówienia wraz z informacją o kwalifikacjach zawodowych lub doświadczeniu tych osób: 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dodatkowe: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III.2) PODSTAWY WYKLUCZENIA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 xml:space="preserve">III.2.1) Podstawy wykluczenia określone w art. 24 ust. 1 ustawy </w:t>
            </w:r>
            <w:proofErr w:type="spellStart"/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Pzp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 xml:space="preserve">III.2.2) Zamawiający przewiduje wykluczenie wykonawcy na podstawie art. 24 ust. 5 ustawy </w:t>
            </w:r>
            <w:proofErr w:type="spellStart"/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Pzp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 tak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Zamawiający przewiduje następujące fakultatywne podstawy wykluczenia: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 xml:space="preserve">(podstawa wykluczenia określona w art. 24 ust. 5 pkt 1 ustawy </w:t>
            </w: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Pzp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)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 xml:space="preserve">(podstawa wykluczenia określona w art. 24 ust. 5 pkt 2 ustawy </w:t>
            </w: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Pzp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)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 xml:space="preserve">(podstawa wykluczenia określona w art. 24 ust. 5 pkt 8 ustawy </w:t>
            </w: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Pzp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)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III.3) WYKAZ OŚWIADCZEŃ SKŁADANYCH PRZEZ WYKONAWCĘ W CELU WSTĘPNEGO POTWIERDZENIA, ŻE NIE PODLEGA ON WYKLUCZENIU ORAZ SPEŁNIA WARUNKI UDZIAŁU W POSTĘPOWANIU ORAZ SPEŁNIA KRYTERIA SELEKCJI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Oświadczenie o niepodleganiu wykluczeniu oraz spełnianiu warunków udziału w postępowaniu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tak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Oświadczenie o spełnianiu kryteriów selekcji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III.4) WYKAZ OŚWIADCZEŃ LUB DOKUMENTÓW , SKŁADANYCH PRZEZ WYKONAWCĘ W POSTĘPOWANIU NA WEZWANIE ZAMAWIAJACEGO W CELU POTWIERDZENIA OKOLICZNOŚCI, O KTÓRYCH MOWA W ART. 25 UST. 1 PKT 3 USTAWY PZP: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 xml:space="preserve">1) zaświadczenie właściwego naczelnika urzędu skarbowego potwierdzające, że wykonawca nie zalega z opłacaniem podatków, wystawione nie wcześniej niż 3 miesiące przed upływem terminu składania ofert albo wniosków o dopuszczenie do udziału w postępowaniu, lub inny dokument potwierdzający, że wykonawca zawarł porozumienie 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 - dla obydwu części 2) zaświadczenie właściwej terenowej jednostki organizacyjnej Zakładu Ubezpieczeń Społecznych lub Kasy Rolniczego Ubezpieczenia Społecznego albo inny dokument potwierdzający, że wykonawca nie zalega z opłacaniem składek na ubezpieczenia społeczne lub zdrowotne, wystawiony nie wcześniej niż 3 miesiące przed upływem terminu składania ofert albo wniosków o dopuszczenie do udziału w postępowaniu, lub inny dokument potwierdzający, że wykonawca zawarł porozumienie 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 - dla obydwu części 3. Dokument, który wykonawca składa w postępowaniu na wezwanie zamawiającego w celu potwierdzenia braku podstaw wykluczenia na podstawie art. 24 ust. 5 pkt 1 ustawy </w:t>
            </w: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Pzp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: 1) odpis z właściwego rejestru lub z centralnej ewidencji i informacji o działalności gospodarczej, jeżeli odrębne przepisy wymagają wpisu do rejestru lub ewidencji dla obydwu części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III.5) WYKAZ OŚWIADCZEŃ LUB DOKUMENTÓW SKŁADANYCH PRZEZ WYKONAWCĘ W POSTĘPOWANIU NA WEZWANIE ZAMAWIAJACEGO W CELU POTWIERDZENIA OKOLICZNOŚCI, O KTÓRYCH MOWA W ART. 25 UST. 1 PKT 1 USTAWY PZP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III.5.1) W ZAKRESIE SPEŁNIANIA WARUNKÓW UDZIAŁU W POSTĘPOWANIU: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 xml:space="preserve">1) Wykaz co najmniej 1 usługi o charakterze i wartości zbliżonej do przedmiotu zamówienia (polegającej na kompleksowej obsłudze informatycznej w jednostce samorządowej) wykonanej lub w przypadku świadczeń okresowych lub ciągłych również wykonywanej w przeciągu ostatnich 3 lat przed terminem składania ofert, a jeśli okres prowadzenia działalności jest krótszy, to w tym okresie wraz z podaniem ich wartości, przedmiotu, daty wykonania i podmiotów na rzecz których zostały te usługi wykonane oraz załączenie dowodów, czy zostały wykonane lub są wykonywane należycie. – dla obydwu części 2) Poświadczona za zgodność z oryginałem kserokopia dokumentu potwierdzającego, że co najmniej jedna osoba u oferenta posiada tytuł min. MCP (Microsoft </w:t>
            </w: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Certified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 xml:space="preserve"> Professional) – dla części I. 3) Poświadczona za zgodność z oryginałem kserokopia dokumentu potwierdzającego, że co najmniej jedna osoba u oferenta posiada udokumentowane doświadczenie w obszarze związanym z </w:t>
            </w: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geomatyką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 xml:space="preserve"> (geoinformatyką) – dla części II. 4) Oświadczenie, że w celu zapewnienia właściwego poziomu obsługi, Wykonawca zobowiązuje się do codziennej wizyty przedstawiciela Wykonawcy w siedzibie Starostwa przy ul. Iłżeckiej 37 – w godzinach pracy urzędu – dla części I. 5) Oświadczenie, że w celu zapewnienia właściwego poziomu obsługi, Wykonawca zobowiązuje się do codziennej wizyty przedstawiciela Wykonawcy w siedzibie Wydziału Geodezji, Kartografii i Katastru przy ul. Wardyńskiego 1 – w godzinach pracy urzędu. – dla części II.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III.5.2) W ZAKRESIE KRYTERIÓW SELEKCJI: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III.6) WYKAZ OŚWIADCZEŃ LUB DOKUMENTÓW SKŁADANYCH PRZEZ WYKONAWCĘ W POSTĘPOWANIU NA WEZWANIE ZAMAWIAJACEGO W CELU POTWIERDZENIA OKOLICZNOŚCI, O KTÓRYCH MOWA W ART. 25 UST. 1 PKT 2 USTAWY PZP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III.7) INNE DOKUMENTY NIE WYMIENIONE W pkt III.3) - III.6)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) oświadczenie wykonawcy o przynależności albo braku przynależności do tej samej grupy kapitałowej (wg Załącznik Nr 4 do SIWZ); w przypadku przynależności do tej samej grupy kapitałowej wykonawca może złożyć wraz z oświadczeniem dokumenty bądź informacje potwierdzające, że powiązania z innym wykonawcą nie prowadzą do zakłócenia konkurencji w postępowaniu dla obydwu części. 1) wypełniony i podpisany Kwestionariusz ofertowy wraz z formularzem cenowym oferty – Załącznik Nr 1 do SIWZ, 2) pełnomocnictwo do podpisania oferty – w przypadku gdy upoważnienie nie wynika z dokumentów rejestrowych, 3) pełnomocnictwo do reprezentowania w postępowaniu o udzielenie zamówienia albo reprezentowania w postępowaniu i zawarcia umowy w sprawie zamówienia publicznego – w przypadku gdy wykonawcy ubiegają się wspólnie o zamówienie.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SEKCJA IV: PROCEDURA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IV.1) OPIS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IV.1.1) Tryb udzielenia zamówienia: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przetarg nieograniczony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IV.1.2) Zamawiający żąda wniesienia wadium: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IV.1.3) Przewiduje się udzielenie zaliczek na poczet wykonania zamówienia: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IV.1.4) Wymaga się złożenia ofert w postaci katalogów elektronicznych lub dołączenia do ofert katalogów elektronicznych: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Dopuszcza się złożenie ofert w postaci katalogów elektronicznych lub dołączenia do ofert katalogów elektronicznych: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dodatkowe: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IV.1.5.) Wymaga się złożenia oferty wariantowej: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Dopuszcza się złożenie oferty wariantowej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Złożenie oferty wariantowej dopuszcza się tylko z jednoczesnym złożeniem oferty zasadniczej: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IV.1.6) Przewidywana liczba wykonawców, którzy zostaną zaproszeni do udziału w postępowaniu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i/>
                <w:iCs/>
                <w:color w:val="000000"/>
                <w:sz w:val="18"/>
                <w:szCs w:val="18"/>
                <w:lang w:eastAsia="pl-PL"/>
              </w:rPr>
              <w:t>(przetarg ograniczony, negocjacje z ogłoszeniem, dialog konkurencyjny, partnerstwo innowacyjne)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Liczba wykonawców 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Przewidywana minimalna liczba wykonawców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Maksymalna liczba wykonawców 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Kryteria selekcji wykonawców: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IV.1.7) Informacje na temat umowy ramowej lub dynamicznego systemu zakupów: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Umowa ramowa będzie zawarta: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Czy przewiduje się ograniczenie liczby uczestników umowy ramowej: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dodatkowe: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Zamówienie obejmuje ustanowienie dynamicznego systemu zakupów: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dodatkowe: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 ramach umowy ramowej/dynamicznego systemu zakupów dopuszcza się złożenie ofert w formie katalogów elektronicznych: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lastRenderedPageBreak/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Przewiduje się pobranie ze złożonych katalogów elektronicznych informacji potrzebnych do sporządzenia ofert w ramach umowy ramowej/dynamicznego systemu zakupów: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IV.1.8) Aukcja elektroniczna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Przewidziane jest przeprowadzenie aukcji elektronicznej </w:t>
            </w:r>
            <w:r w:rsidRPr="00126C84">
              <w:rPr>
                <w:rFonts w:ascii="Tahoma" w:eastAsia="Times New Roman" w:hAnsi="Tahoma" w:cs="Tahoma"/>
                <w:i/>
                <w:iCs/>
                <w:color w:val="000000"/>
                <w:sz w:val="18"/>
                <w:szCs w:val="18"/>
                <w:lang w:eastAsia="pl-PL"/>
              </w:rPr>
              <w:t>(przetarg nieograniczony, przetarg ograniczony, negocjacje z ogłoszeniem)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Należy wskazać elementy, których wartości będą przedmiotem aukcji elektronicznej: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Przewiduje się ograniczenia co do przedstawionych wartości, wynikające z opisu przedmiotu zamówienia: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Należy podać, które informacje zostaną udostępnione wykonawcom w trakcie aukcji elektronicznej oraz jaki będzie termin ich udostępnienia: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dotyczące przebiegu aukcji elektronicznej: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Jaki jest przewidziany sposób postępowania w toku aukcji elektronicznej i jakie będą warunki, na jakich wykonawcy będą mogli licytować (minimalne wysokości postąpień):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dotyczące wykorzystywanego sprzętu elektronicznego, rozwiązań i specyfikacji technicznych w zakresie połączeń: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Wymagania dotyczące rejestracji i identyfikacji wykonawców w aukcji elektronicznej: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o liczbie etapów aukcji elektronicznej i czasie ich trwania: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Aukcja wieloetapowa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5"/>
              <w:gridCol w:w="1848"/>
            </w:tblGrid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trwania etapu</w:t>
                  </w:r>
                </w:p>
              </w:tc>
            </w:tr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Czy wykonawcy, którzy nie złożyli nowych postąpień, zostaną zakwalifikowani do następnego etapu: 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Warunki zamknięcia aukcji elektronicznej: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IV.2) KRYTERIA OCENY OFERT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IV.2.1) Kryteria oceny ofert: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IV.2.2) Kryteria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55"/>
              <w:gridCol w:w="1049"/>
            </w:tblGrid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Kryteria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Znaczenie</w:t>
                  </w:r>
                </w:p>
              </w:tc>
            </w:tr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cena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60</w:t>
                  </w:r>
                </w:p>
              </w:tc>
            </w:tr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reakcji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 xml:space="preserve">IV.2.3) Zastosowanie procedury, o której mowa w art. 24aa ust. 1 ustawy </w:t>
            </w:r>
            <w:proofErr w:type="spellStart"/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Pzp</w:t>
            </w:r>
            <w:proofErr w:type="spellEnd"/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(przetarg nieograniczony)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tak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IV.3) Negocjacje z ogłoszeniem, dialog konkurencyjny, partnerstwo innowacyjne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IV.3.1) Informacje na temat negocjacji z ogłoszeniem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Minimalne wymagania, które muszą spełniać wszystkie oferty: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Przewidziane jest zastrzeżenie prawa do udzielenia zamówienia na podstawie ofert wstępnych bez przeprowadzenia negocjacji 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Przewidziany jest podział negocjacji na etapy w celu ograniczenia liczby ofert: 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Należy podać informacje na temat etapów negocjacji (w tym liczbę etapów):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dodatkowe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IV.3.2) Informacje na temat dialogu konkurencyjnego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Opis potrzeb i wymagań zamawiającego lub informacja o sposobie uzyskania tego opisu: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Informacja o wysokości nagród dla wykonawców, którzy podczas dialogu konkurencyjnego przedstawili rozwiązania stanowiące podstawę do składania ofert, jeżeli zamawiający przewiduje nagrody: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Wstępny harmonogram postępowania: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Podział dialogu na etapy w celu ograniczenia liczby rozwiązań: 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Należy podać informacje na temat etapów dialogu: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dodatkowe: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IV.3.3) Informacje na temat partnerstwa innowacyjnego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Elementy opisu przedmiotu zamówienia definiujące minimalne wymagania, którym muszą odpowiadać wszystkie oferty: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 xml:space="preserve">Podział negocjacji na etapy w celu ograniczeniu liczby ofert podlegających negocjacjom poprzez zastosowanie kryteriów oceny ofert 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lastRenderedPageBreak/>
              <w:t>wskazanych w specyfikacji istotnych warunków zamówienia: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dodatkowe: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IV.4) Licytacja elektroniczna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Adres strony internetowej, na której będzie prowadzona licytacja elektroniczna: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Adres strony internetowej, na której jest dostępny opis przedmiotu zamówienia w licytacji elektronicznej: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Wymagania dotyczące rejestracji i identyfikacji wykonawców w licytacji elektronicznej, w tym wymagania techniczne urządzeń informatycznych: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Sposób postępowania w toku licytacji elektronicznej, w tym określenie minimalnych wysokości postąpień: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Informacje o liczbie etapów licytacji elektronicznej i czasie ich trwania: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Licytacja wieloetapowa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5"/>
              <w:gridCol w:w="1848"/>
            </w:tblGrid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trwania etapu</w:t>
                  </w:r>
                </w:p>
              </w:tc>
            </w:tr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Wykonawcy, którzy nie złożyli nowych postąpień, zostaną zakwalifikowani do następnego etapu: nie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Termin otwarcia licytacji elektronicznej: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Termin i warunki zamknięcia licytacji elektronicznej: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Istotne dla stron postanowienia, które zostaną wprowadzone do treści zawieranej umowy w sprawie zamówienia publicznego, albo ogólne warunki umowy, albo wzór umowy: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Wymagania dotyczące zabezpieczenia należytego wykonania umowy: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Informacje dodatkowe: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IV.5) ZMIANA UMOWY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Przewiduje się istotne zmiany postanowień zawartej umowy w stosunku do treści oferty, na podstawie której dokonano wyboru wykonawcy: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 tak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Należy wskazać zakres, charakter zmian oraz warunki wprowadzenia zmian: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2. Zgodnie z art. 144 ust. 1 pkt 1 zamawiający przewiduje następujące zmiany umowy: Wartość zamówienia na rok 2018 zostanie zwiększony w stosunku do roku 2017 o procentowy wzrost płacy minimalnej – 8 %.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IV.6) INFORMACJE ADMINISTRACYJNE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IV.6.1) Sposób udostępniania informacji o charakterze poufnym </w:t>
            </w:r>
            <w:r w:rsidRPr="00126C84">
              <w:rPr>
                <w:rFonts w:ascii="Tahoma" w:eastAsia="Times New Roman" w:hAnsi="Tahoma" w:cs="Tahoma"/>
                <w:i/>
                <w:iCs/>
                <w:color w:val="000000"/>
                <w:sz w:val="18"/>
                <w:szCs w:val="18"/>
                <w:lang w:eastAsia="pl-PL"/>
              </w:rPr>
              <w:t>(jeżeli dotyczy):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Środki służące ochronie informacji o charakterze poufnym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IV.6.2) Termin składania ofert lub wniosków o dopuszczenie do udziału w postępowaniu: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Data: 23/12/2016, godzina: 09:45,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Skrócenie terminu składania wniosków, ze względu na pilną potrzebę udzielenia zamówienia (przetarg nieograniczony, przetarg ograniczony, negocjacje z ogłoszeniem):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Wskazać powody: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Język lub języki, w jakich mogą być sporządzane oferty lub wnioski o dopuszczenie do udziału w postępowaniu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&gt;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IV.6.3) Termin związania ofertą: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okres w dniach: 30 (od ostatecznego terminu składania ofert)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 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 nie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IV.6.6) Informacje dodatkowe:</w:t>
            </w:r>
          </w:p>
          <w:p w:rsidR="00126C84" w:rsidRPr="00126C84" w:rsidRDefault="00126C84" w:rsidP="00126C8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ZAŁĄCZNIK I - INFORMACJE DOTYCZĄCE OFERT CZĘŚCIOWYCH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Część nr: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1    </w:t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Nazwa: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1) Krótki opis przedmiotu zamówienia </w:t>
            </w:r>
            <w:r w:rsidRPr="00126C84">
              <w:rPr>
                <w:rFonts w:ascii="Tahoma" w:eastAsia="Times New Roman" w:hAnsi="Tahoma" w:cs="Tahoma"/>
                <w:i/>
                <w:iCs/>
                <w:color w:val="000000"/>
                <w:sz w:val="18"/>
                <w:szCs w:val="18"/>
                <w:lang w:eastAsia="pl-PL"/>
              </w:rPr>
              <w:t>(wielkość, zakres, rodzaj i ilość dostaw, usług lub robót budowlanych lub określenie zapotrzebowania i wymagań)</w:t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 xml:space="preserve"> a w przypadku partnerstwa innowacyjnego - określenie zapotrzebowania na innowacyjny produkt, usługę lub roboty </w:t>
            </w:r>
            <w:proofErr w:type="spellStart"/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budowlane: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„Obsługa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 xml:space="preserve"> informatyczna Starostwa Powiatowego w Ostrowcu Świętokrzyskim przy ul. Iłżeckiej 37 z wyłączeniem Wydziału Geodezji, Kartografii i Katastru”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2) Wspólny Słownik Zamówień (CPV):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72222300-0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3) Wartość części zamówienia (jeżeli zamawiający podaje informacje o wartości zamówienia):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Wartość bez VAT: 186016.26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Waluta: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pln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4) Czas trwania lub termin wykonania: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data zakończenia: 31/12/2018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5) Kryteria oceny ofert: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300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40"/>
              <w:gridCol w:w="1334"/>
            </w:tblGrid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Kryteria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Znaczenie</w:t>
                  </w:r>
                </w:p>
              </w:tc>
            </w:tr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cena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60</w:t>
                  </w:r>
                </w:p>
              </w:tc>
            </w:tr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reakcji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40</w:t>
                  </w:r>
                </w:p>
              </w:tc>
            </w:tr>
          </w:tbl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6) INFORMACJE DODATKOWE: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Część nr: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2    </w:t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Nazwa: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1) Krótki opis przedmiotu zamówienia </w:t>
            </w:r>
            <w:r w:rsidRPr="00126C84">
              <w:rPr>
                <w:rFonts w:ascii="Tahoma" w:eastAsia="Times New Roman" w:hAnsi="Tahoma" w:cs="Tahoma"/>
                <w:i/>
                <w:iCs/>
                <w:color w:val="000000"/>
                <w:sz w:val="18"/>
                <w:szCs w:val="18"/>
                <w:lang w:eastAsia="pl-PL"/>
              </w:rPr>
              <w:t>(wielkość, zakres, rodzaj i ilość dostaw, usług lub robót budowlanych lub określenie zapotrzebowania i wymagań)</w:t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 xml:space="preserve"> a w przypadku partnerstwa innowacyjnego - określenie zapotrzebowania na innowacyjny produkt, usługę lub roboty </w:t>
            </w:r>
            <w:proofErr w:type="spellStart"/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budowlane: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„Obsługa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 xml:space="preserve"> informatyczna Wydziału Geodezji, Kartografii i Katastru Starostwa Powiatowego w Ostrowcu Świętokrzyskim przy ul. Wardyńskiego 1”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2) Wspólny Słownik Zamówień (CPV):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72222300-0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3) Wartość części zamówienia (jeżeli zamawiający podaje informacje o wartości zamówienia):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Wartość bez VAT: 93008.13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  <w:t>Waluta: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pln</w:t>
            </w:r>
            <w:proofErr w:type="spellEnd"/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4) Czas trwania lub termin wykonania: 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data zakończenia: 31/12/2018</w:t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br/>
            </w: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5) Kryteria oceny ofert: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300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40"/>
              <w:gridCol w:w="1334"/>
            </w:tblGrid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Kryteria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pl-PL"/>
                    </w:rPr>
                    <w:t>Znaczenie</w:t>
                  </w:r>
                </w:p>
              </w:tc>
            </w:tr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Cena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60</w:t>
                  </w:r>
                </w:p>
              </w:tc>
            </w:tr>
            <w:tr w:rsidR="00126C84" w:rsidRPr="00126C84" w:rsidTr="00126C8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Czas reakcji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26C84" w:rsidRPr="00126C84" w:rsidRDefault="00126C84" w:rsidP="00126C8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126C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40</w:t>
                  </w:r>
                </w:p>
              </w:tc>
            </w:tr>
          </w:tbl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 w:rsidRPr="00126C84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pl-PL"/>
              </w:rPr>
              <w:t>6) INFORMACJE DODATKOWE: </w:t>
            </w: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  <w:p w:rsidR="00126C84" w:rsidRPr="00126C84" w:rsidRDefault="00126C84" w:rsidP="00126C8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0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126C84" w:rsidRPr="00126C84" w:rsidRDefault="00126C84" w:rsidP="00126C84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color w:val="0000FF"/>
                <w:sz w:val="18"/>
                <w:szCs w:val="18"/>
                <w:lang w:eastAsia="pl-PL"/>
              </w:rPr>
              <w:lastRenderedPageBreak/>
              <w:drawing>
                <wp:inline distT="0" distB="0" distL="0" distR="0" wp14:anchorId="52897380" wp14:editId="7E20C4D8">
                  <wp:extent cx="149860" cy="149860"/>
                  <wp:effectExtent l="0" t="0" r="2540" b="2540"/>
                  <wp:docPr id="3" name="Obraz 3" descr="Zwiększ rozmiar czcionki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większ rozmiar czcionki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" cy="14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 </w:t>
            </w:r>
            <w:r>
              <w:rPr>
                <w:rFonts w:ascii="Tahoma" w:eastAsia="Times New Roman" w:hAnsi="Tahoma" w:cs="Tahoma"/>
                <w:noProof/>
                <w:color w:val="0000FF"/>
                <w:sz w:val="18"/>
                <w:szCs w:val="18"/>
                <w:lang w:eastAsia="pl-PL"/>
              </w:rPr>
              <w:drawing>
                <wp:inline distT="0" distB="0" distL="0" distR="0" wp14:anchorId="4A2CA062" wp14:editId="2D11AAA4">
                  <wp:extent cx="149860" cy="149860"/>
                  <wp:effectExtent l="0" t="0" r="2540" b="2540"/>
                  <wp:docPr id="2" name="Obraz 2" descr="Ustaw domyślny rozmiar czcionki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staw domyślny rozmiar czcionki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" cy="14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6C8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pl-PL"/>
              </w:rPr>
              <w:t> </w:t>
            </w:r>
            <w:r>
              <w:rPr>
                <w:rFonts w:ascii="Tahoma" w:eastAsia="Times New Roman" w:hAnsi="Tahoma" w:cs="Tahoma"/>
                <w:noProof/>
                <w:color w:val="0000FF"/>
                <w:sz w:val="18"/>
                <w:szCs w:val="18"/>
                <w:lang w:eastAsia="pl-PL"/>
              </w:rPr>
              <w:drawing>
                <wp:inline distT="0" distB="0" distL="0" distR="0" wp14:anchorId="19CC23A8" wp14:editId="4780A1D9">
                  <wp:extent cx="149860" cy="149860"/>
                  <wp:effectExtent l="0" t="0" r="2540" b="2540"/>
                  <wp:docPr id="1" name="Obraz 1" descr="Zmniejsz rozmiar czcionki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Zmniejsz rozmiar czcionki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" cy="14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01A0" w:rsidRDefault="00C501A0" w:rsidP="00454862">
      <w:pPr>
        <w:shd w:val="clear" w:color="auto" w:fill="FFFFFF" w:themeFill="background1"/>
        <w:spacing w:after="0" w:line="240" w:lineRule="auto"/>
      </w:pPr>
    </w:p>
    <w:p w:rsidR="00C501A0" w:rsidRDefault="00C501A0" w:rsidP="00454862">
      <w:pPr>
        <w:shd w:val="clear" w:color="auto" w:fill="FFFFFF" w:themeFill="background1"/>
        <w:spacing w:after="0" w:line="240" w:lineRule="auto"/>
      </w:pPr>
    </w:p>
    <w:p w:rsidR="00F122A4" w:rsidRDefault="00F122A4" w:rsidP="00454862">
      <w:pPr>
        <w:shd w:val="clear" w:color="auto" w:fill="FFFFFF" w:themeFill="background1"/>
        <w:spacing w:after="0" w:line="240" w:lineRule="auto"/>
      </w:pPr>
      <w:r>
        <w:t xml:space="preserve">data: </w:t>
      </w:r>
      <w:r w:rsidR="00454862">
        <w:t>1</w:t>
      </w:r>
      <w:r w:rsidR="00126C84">
        <w:t>5</w:t>
      </w:r>
      <w:r w:rsidR="00454862">
        <w:t>.12</w:t>
      </w:r>
      <w:r>
        <w:t>.2016 rok</w:t>
      </w:r>
    </w:p>
    <w:p w:rsidR="00F122A4" w:rsidRDefault="00F122A4" w:rsidP="00454862">
      <w:pPr>
        <w:shd w:val="clear" w:color="auto" w:fill="FFFFFF" w:themeFill="background1"/>
        <w:spacing w:after="0" w:line="240" w:lineRule="auto"/>
      </w:pPr>
    </w:p>
    <w:p w:rsidR="00126C84" w:rsidRDefault="00126C84" w:rsidP="00454862">
      <w:pPr>
        <w:shd w:val="clear" w:color="auto" w:fill="FFFFFF" w:themeFill="background1"/>
        <w:spacing w:after="0" w:line="240" w:lineRule="auto"/>
      </w:pPr>
      <w:bookmarkStart w:id="0" w:name="_GoBack"/>
      <w:bookmarkEnd w:id="0"/>
    </w:p>
    <w:sectPr w:rsidR="00126C84" w:rsidSect="00F122A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2A4"/>
    <w:rsid w:val="000039D2"/>
    <w:rsid w:val="00126C84"/>
    <w:rsid w:val="00454862"/>
    <w:rsid w:val="004805E8"/>
    <w:rsid w:val="005A2FAC"/>
    <w:rsid w:val="009611EB"/>
    <w:rsid w:val="00C501A0"/>
    <w:rsid w:val="00ED2492"/>
    <w:rsid w:val="00F1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opka">
    <w:name w:val="stopka"/>
    <w:basedOn w:val="Normalny"/>
    <w:rsid w:val="00F12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0039D2"/>
  </w:style>
  <w:style w:type="paragraph" w:styleId="NormalnyWeb">
    <w:name w:val="Normal (Web)"/>
    <w:basedOn w:val="Normalny"/>
    <w:uiPriority w:val="99"/>
    <w:semiHidden/>
    <w:unhideWhenUsed/>
    <w:rsid w:val="00126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26C8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C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opka">
    <w:name w:val="stopka"/>
    <w:basedOn w:val="Normalny"/>
    <w:rsid w:val="00F12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0039D2"/>
  </w:style>
  <w:style w:type="paragraph" w:styleId="NormalnyWeb">
    <w:name w:val="Normal (Web)"/>
    <w:basedOn w:val="Normalny"/>
    <w:uiPriority w:val="99"/>
    <w:semiHidden/>
    <w:unhideWhenUsed/>
    <w:rsid w:val="00126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26C8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C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0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1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9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3968">
                  <w:marLeft w:val="150"/>
                  <w:marRight w:val="150"/>
                  <w:marTop w:val="0"/>
                  <w:marBottom w:val="0"/>
                  <w:divBdr>
                    <w:top w:val="dotted" w:sz="6" w:space="8" w:color="000000"/>
                    <w:left w:val="dotted" w:sz="6" w:space="15" w:color="000000"/>
                    <w:bottom w:val="dotted" w:sz="6" w:space="8" w:color="000000"/>
                    <w:right w:val="dotted" w:sz="6" w:space="8" w:color="000000"/>
                  </w:divBdr>
                  <w:divsChild>
                    <w:div w:id="39782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39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76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591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91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370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333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585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2025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86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87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007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380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8636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266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17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14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82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28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958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87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790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628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458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24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5708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2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63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66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63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41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5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289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2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514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43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57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565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62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60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47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054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3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81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15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2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863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0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09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42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54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03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86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01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48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2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0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92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35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29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319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53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0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48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024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41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33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12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6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45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79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77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44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32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76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67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5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43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04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09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2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154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993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04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76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zp.uzp.gov.pl/Out/Browser.aspx?id=3b8e751e-0e56-4baa-bc85-4921c43a262c&amp;path=2016%5c12%5c20161215%5c367750_2016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ostrowiecki.e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3518</Words>
  <Characters>21108</Characters>
  <Application>Microsoft Office Word</Application>
  <DocSecurity>0</DocSecurity>
  <Lines>175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rzajaczkowski</cp:lastModifiedBy>
  <cp:revision>2</cp:revision>
  <cp:lastPrinted>2016-12-15T07:44:00Z</cp:lastPrinted>
  <dcterms:created xsi:type="dcterms:W3CDTF">2016-12-15T12:42:00Z</dcterms:created>
  <dcterms:modified xsi:type="dcterms:W3CDTF">2016-12-15T12:42:00Z</dcterms:modified>
</cp:coreProperties>
</file>